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3343D" w14:textId="1C946234" w:rsidR="00BC69B0" w:rsidRPr="00D702EF" w:rsidRDefault="00D702EF" w:rsidP="00D702EF">
      <w:pPr>
        <w:spacing w:line="240" w:lineRule="auto"/>
        <w:jc w:val="center"/>
        <w:rPr>
          <w:b/>
          <w:bCs/>
        </w:rPr>
      </w:pPr>
      <w:r w:rsidRPr="00D702EF">
        <w:rPr>
          <w:b/>
          <w:bCs/>
        </w:rPr>
        <w:t>MURPHYS SANITARY DISTRICT</w:t>
      </w:r>
    </w:p>
    <w:p w14:paraId="79C11556" w14:textId="67DD0353" w:rsidR="00774C27" w:rsidRPr="00D702EF" w:rsidRDefault="00774C27" w:rsidP="00D702EF">
      <w:pPr>
        <w:spacing w:line="240" w:lineRule="auto"/>
        <w:jc w:val="center"/>
        <w:rPr>
          <w:b/>
          <w:bCs/>
        </w:rPr>
      </w:pPr>
      <w:r w:rsidRPr="00D702EF">
        <w:rPr>
          <w:b/>
          <w:bCs/>
        </w:rPr>
        <w:t xml:space="preserve">IMPORTANT NOTICE REGARDING YOUR </w:t>
      </w:r>
      <w:r w:rsidR="00470043">
        <w:rPr>
          <w:b/>
          <w:bCs/>
        </w:rPr>
        <w:t xml:space="preserve">COMMERCIAL </w:t>
      </w:r>
      <w:r w:rsidRPr="00D702EF">
        <w:rPr>
          <w:b/>
          <w:bCs/>
        </w:rPr>
        <w:t>SEWER RATES</w:t>
      </w:r>
    </w:p>
    <w:p w14:paraId="2E7B544C" w14:textId="77777777" w:rsidR="00774C27" w:rsidRDefault="00774C27" w:rsidP="00774C27">
      <w:pPr>
        <w:spacing w:line="360" w:lineRule="auto"/>
      </w:pPr>
    </w:p>
    <w:p w14:paraId="7F5C6D96" w14:textId="505BB409" w:rsidR="00774C27" w:rsidRPr="00774C27" w:rsidRDefault="00774C27" w:rsidP="00774C27">
      <w:pPr>
        <w:spacing w:line="360" w:lineRule="auto"/>
      </w:pPr>
      <w:r w:rsidRPr="00774C27">
        <w:t xml:space="preserve">Date: June </w:t>
      </w:r>
      <w:r w:rsidR="008B6DB6">
        <w:t>15, 2026</w:t>
      </w:r>
    </w:p>
    <w:p w14:paraId="17E522AF" w14:textId="77777777" w:rsidR="00774C27" w:rsidRPr="00774C27" w:rsidRDefault="00774C27" w:rsidP="00774C27">
      <w:pPr>
        <w:spacing w:line="360" w:lineRule="auto"/>
      </w:pPr>
      <w:r w:rsidRPr="00774C27">
        <w:t>Dear Commercial Customer,</w:t>
      </w:r>
    </w:p>
    <w:p w14:paraId="4C704B8C" w14:textId="77777777" w:rsidR="00774C27" w:rsidRPr="00774C27" w:rsidRDefault="00774C27" w:rsidP="00774C27">
      <w:pPr>
        <w:spacing w:line="360" w:lineRule="auto"/>
      </w:pPr>
      <w:r w:rsidRPr="00774C27">
        <w:t>The Board of Directors of Murphys Sanitary District recently approved Resolution No. 2026-04, which modifies the implementation schedule for future sewer rate adjustments.</w:t>
      </w:r>
    </w:p>
    <w:p w14:paraId="0B0F07A3" w14:textId="77777777" w:rsidR="00774C27" w:rsidRPr="00774C27" w:rsidRDefault="00774C27" w:rsidP="00774C27">
      <w:pPr>
        <w:spacing w:line="360" w:lineRule="auto"/>
        <w:rPr>
          <w:b/>
          <w:bCs/>
        </w:rPr>
      </w:pPr>
      <w:r w:rsidRPr="00774C27">
        <w:rPr>
          <w:b/>
          <w:bCs/>
        </w:rPr>
        <w:t>What This Means for You</w:t>
      </w:r>
    </w:p>
    <w:p w14:paraId="5AA4C085" w14:textId="77777777" w:rsidR="00774C27" w:rsidRPr="00774C27" w:rsidRDefault="00774C27" w:rsidP="00774C27">
      <w:pPr>
        <w:spacing w:line="360" w:lineRule="auto"/>
      </w:pPr>
      <w:r w:rsidRPr="00774C27">
        <w:rPr>
          <w:rFonts w:ascii="Segoe UI Symbol" w:hAnsi="Segoe UI Symbol" w:cs="Segoe UI Symbol"/>
        </w:rPr>
        <w:t>✔</w:t>
      </w:r>
      <w:r w:rsidRPr="00774C27">
        <w:t xml:space="preserve"> No sewer rate increase will occur on July 1, 2026.</w:t>
      </w:r>
    </w:p>
    <w:p w14:paraId="7D7A9304" w14:textId="77777777" w:rsidR="00774C27" w:rsidRPr="00774C27" w:rsidRDefault="00774C27" w:rsidP="00774C27">
      <w:pPr>
        <w:spacing w:line="360" w:lineRule="auto"/>
      </w:pPr>
      <w:r w:rsidRPr="00774C27">
        <w:rPr>
          <w:rFonts w:ascii="Segoe UI Symbol" w:hAnsi="Segoe UI Symbol" w:cs="Segoe UI Symbol"/>
        </w:rPr>
        <w:t>✔</w:t>
      </w:r>
      <w:r w:rsidRPr="00774C27">
        <w:t xml:space="preserve"> Your current sewer rates will remain in effect through June 30, 2027.</w:t>
      </w:r>
    </w:p>
    <w:p w14:paraId="62670573" w14:textId="77777777" w:rsidR="00774C27" w:rsidRPr="00774C27" w:rsidRDefault="00774C27" w:rsidP="00774C27">
      <w:pPr>
        <w:spacing w:line="360" w:lineRule="auto"/>
      </w:pPr>
      <w:r w:rsidRPr="00774C27">
        <w:rPr>
          <w:rFonts w:ascii="Segoe UI Symbol" w:hAnsi="Segoe UI Symbol" w:cs="Segoe UI Symbol"/>
        </w:rPr>
        <w:t>✔</w:t>
      </w:r>
      <w:r w:rsidRPr="00774C27">
        <w:t xml:space="preserve"> The next scheduled rate adjustment will occur on July 1, 2027.</w:t>
      </w:r>
    </w:p>
    <w:p w14:paraId="2548F681" w14:textId="77777777" w:rsidR="00774C27" w:rsidRPr="00774C27" w:rsidRDefault="00774C27" w:rsidP="00774C27">
      <w:pPr>
        <w:spacing w:line="360" w:lineRule="auto"/>
        <w:rPr>
          <w:b/>
          <w:bCs/>
        </w:rPr>
      </w:pPr>
      <w:r w:rsidRPr="00774C27">
        <w:rPr>
          <w:b/>
          <w:bCs/>
        </w:rPr>
        <w:t>Why Was This Change Made?</w:t>
      </w:r>
    </w:p>
    <w:p w14:paraId="7B2571A6" w14:textId="77777777" w:rsidR="00774C27" w:rsidRPr="00774C27" w:rsidRDefault="00774C27" w:rsidP="00774C27">
      <w:pPr>
        <w:spacing w:line="360" w:lineRule="auto"/>
      </w:pPr>
      <w:r w:rsidRPr="00774C27">
        <w:t>The Board recognized that customers would otherwise experience two rate increases within the same calendar year. To help reduce the financial impact on customers, the Board approved a one-year deferral of the July 1, 2026 rate adjustment.</w:t>
      </w:r>
    </w:p>
    <w:p w14:paraId="6685F5BF" w14:textId="77777777" w:rsidR="00774C27" w:rsidRPr="00774C27" w:rsidRDefault="00774C27" w:rsidP="00774C27">
      <w:pPr>
        <w:spacing w:line="360" w:lineRule="auto"/>
      </w:pPr>
      <w:r w:rsidRPr="00774C27">
        <w:t>This action provides customers with additional time to adjust while continuing to support the District's operational, maintenance, and infrastructure needs.</w:t>
      </w:r>
    </w:p>
    <w:p w14:paraId="3C3197BF" w14:textId="77777777" w:rsidR="00774C27" w:rsidRPr="00774C27" w:rsidRDefault="00774C27" w:rsidP="00774C27">
      <w:pPr>
        <w:spacing w:line="360" w:lineRule="auto"/>
        <w:rPr>
          <w:b/>
          <w:bCs/>
        </w:rPr>
      </w:pPr>
      <w:r w:rsidRPr="00774C27">
        <w:rPr>
          <w:b/>
          <w:bCs/>
        </w:rPr>
        <w:t>Future Rate Schedule</w:t>
      </w:r>
    </w:p>
    <w:p w14:paraId="559761C9" w14:textId="77777777" w:rsidR="00774C27" w:rsidRPr="00774C27" w:rsidRDefault="00774C27" w:rsidP="00774C27">
      <w:pPr>
        <w:spacing w:line="360" w:lineRule="auto"/>
      </w:pPr>
      <w:r w:rsidRPr="00774C27">
        <w:t>The adopted Proposition 218 rate structure remains unchanged. This action only modifies the implementation dates by delaying the July 1, 2026 increase and shifting subsequent scheduled increases forward by one year.</w:t>
      </w:r>
    </w:p>
    <w:p w14:paraId="2B8F4F56" w14:textId="26271CFF" w:rsidR="00774C27" w:rsidRPr="00774C27" w:rsidRDefault="00774C27" w:rsidP="00774C27">
      <w:pPr>
        <w:spacing w:line="360" w:lineRule="auto"/>
        <w:jc w:val="center"/>
        <w:rPr>
          <w:b/>
          <w:bCs/>
        </w:rPr>
      </w:pPr>
      <w:r w:rsidRPr="00774C27">
        <w:rPr>
          <w:b/>
          <w:bCs/>
        </w:rPr>
        <w:t>Please see the enclosed rate table for the revised implementation dates.</w:t>
      </w:r>
    </w:p>
    <w:p w14:paraId="2446DC0A" w14:textId="620298C5" w:rsidR="00441207" w:rsidRPr="00774C27" w:rsidRDefault="00441207" w:rsidP="00441207">
      <w:pPr>
        <w:spacing w:line="360" w:lineRule="auto"/>
      </w:pPr>
    </w:p>
    <w:p w14:paraId="7B3362D5" w14:textId="77777777" w:rsidR="00441207" w:rsidRDefault="00441207" w:rsidP="00441207">
      <w:pPr>
        <w:spacing w:line="360" w:lineRule="auto"/>
      </w:pPr>
    </w:p>
    <w:tbl>
      <w:tblPr>
        <w:tblpPr w:leftFromText="180" w:rightFromText="180" w:vertAnchor="text" w:horzAnchor="margin" w:tblpX="-360" w:tblpY="968"/>
        <w:tblW w:w="10291" w:type="dxa"/>
        <w:tblCellSpacing w:w="15" w:type="dxa"/>
        <w:tblCellMar>
          <w:top w:w="15" w:type="dxa"/>
          <w:left w:w="15" w:type="dxa"/>
          <w:bottom w:w="15" w:type="dxa"/>
          <w:right w:w="15" w:type="dxa"/>
        </w:tblCellMar>
        <w:tblLook w:val="04A0" w:firstRow="1" w:lastRow="0" w:firstColumn="1" w:lastColumn="0" w:noHBand="0" w:noVBand="1"/>
      </w:tblPr>
      <w:tblGrid>
        <w:gridCol w:w="2250"/>
        <w:gridCol w:w="1170"/>
        <w:gridCol w:w="1350"/>
        <w:gridCol w:w="1350"/>
        <w:gridCol w:w="1350"/>
        <w:gridCol w:w="1350"/>
        <w:gridCol w:w="1471"/>
      </w:tblGrid>
      <w:tr w:rsidR="00E1475B" w:rsidRPr="006A66B2" w14:paraId="62BF632C" w14:textId="77777777" w:rsidTr="00E1475B">
        <w:trPr>
          <w:tblHeader/>
          <w:tblCellSpacing w:w="15" w:type="dxa"/>
        </w:trPr>
        <w:tc>
          <w:tcPr>
            <w:tcW w:w="2205" w:type="dxa"/>
            <w:vAlign w:val="center"/>
            <w:hideMark/>
          </w:tcPr>
          <w:p w14:paraId="6CA4A21A" w14:textId="77777777" w:rsidR="00E1475B" w:rsidRPr="006A66B2" w:rsidRDefault="00E1475B" w:rsidP="00E1475B">
            <w:pPr>
              <w:pStyle w:val="BodyText"/>
              <w:rPr>
                <w:rFonts w:asciiTheme="minorHAnsi" w:hAnsiTheme="minorHAnsi"/>
                <w:sz w:val="24"/>
                <w:szCs w:val="24"/>
              </w:rPr>
            </w:pPr>
            <w:r w:rsidRPr="006A66B2">
              <w:rPr>
                <w:rFonts w:asciiTheme="minorHAnsi" w:hAnsiTheme="minorHAnsi"/>
                <w:sz w:val="24"/>
                <w:szCs w:val="24"/>
              </w:rPr>
              <w:t>Charge Category</w:t>
            </w:r>
          </w:p>
        </w:tc>
        <w:tc>
          <w:tcPr>
            <w:tcW w:w="1140" w:type="dxa"/>
            <w:vAlign w:val="center"/>
            <w:hideMark/>
          </w:tcPr>
          <w:p w14:paraId="02EBA833" w14:textId="77777777" w:rsidR="00E1475B" w:rsidRPr="006A66B2" w:rsidRDefault="00E1475B" w:rsidP="00E1475B">
            <w:pPr>
              <w:pStyle w:val="BodyText"/>
              <w:rPr>
                <w:rFonts w:asciiTheme="minorHAnsi" w:hAnsiTheme="minorHAnsi"/>
                <w:sz w:val="24"/>
                <w:szCs w:val="24"/>
              </w:rPr>
            </w:pPr>
            <w:r w:rsidRPr="006A66B2">
              <w:rPr>
                <w:rFonts w:asciiTheme="minorHAnsi" w:hAnsiTheme="minorHAnsi"/>
                <w:sz w:val="24"/>
                <w:szCs w:val="24"/>
              </w:rPr>
              <w:t>Unit</w:t>
            </w:r>
          </w:p>
        </w:tc>
        <w:tc>
          <w:tcPr>
            <w:tcW w:w="1320" w:type="dxa"/>
            <w:vAlign w:val="center"/>
            <w:hideMark/>
          </w:tcPr>
          <w:p w14:paraId="25A05D9B" w14:textId="77777777" w:rsidR="00E1475B" w:rsidRPr="006A66B2" w:rsidRDefault="00E1475B" w:rsidP="00E1475B">
            <w:pPr>
              <w:pStyle w:val="BodyText"/>
              <w:rPr>
                <w:rFonts w:asciiTheme="minorHAnsi" w:hAnsiTheme="minorHAnsi"/>
                <w:sz w:val="24"/>
                <w:szCs w:val="24"/>
              </w:rPr>
            </w:pPr>
            <w:r w:rsidRPr="006A66B2">
              <w:rPr>
                <w:rFonts w:asciiTheme="minorHAnsi" w:hAnsiTheme="minorHAnsi"/>
                <w:sz w:val="24"/>
                <w:szCs w:val="24"/>
              </w:rPr>
              <w:t>Jan 1, 2026</w:t>
            </w:r>
          </w:p>
        </w:tc>
        <w:tc>
          <w:tcPr>
            <w:tcW w:w="1320" w:type="dxa"/>
            <w:vAlign w:val="center"/>
            <w:hideMark/>
          </w:tcPr>
          <w:p w14:paraId="1433DC2E" w14:textId="77777777" w:rsidR="00E1475B" w:rsidRPr="006A66B2" w:rsidRDefault="00E1475B" w:rsidP="00E1475B">
            <w:pPr>
              <w:pStyle w:val="BodyText"/>
              <w:rPr>
                <w:rFonts w:asciiTheme="minorHAnsi" w:hAnsiTheme="minorHAnsi"/>
                <w:sz w:val="24"/>
                <w:szCs w:val="24"/>
              </w:rPr>
            </w:pPr>
            <w:r w:rsidRPr="006A66B2">
              <w:rPr>
                <w:rFonts w:asciiTheme="minorHAnsi" w:hAnsiTheme="minorHAnsi"/>
                <w:sz w:val="24"/>
                <w:szCs w:val="24"/>
              </w:rPr>
              <w:t>July 1, 2027</w:t>
            </w:r>
          </w:p>
        </w:tc>
        <w:tc>
          <w:tcPr>
            <w:tcW w:w="1320" w:type="dxa"/>
            <w:vAlign w:val="center"/>
            <w:hideMark/>
          </w:tcPr>
          <w:p w14:paraId="2492852A" w14:textId="77777777" w:rsidR="00E1475B" w:rsidRPr="006A66B2" w:rsidRDefault="00E1475B" w:rsidP="00E1475B">
            <w:pPr>
              <w:pStyle w:val="BodyText"/>
              <w:rPr>
                <w:rFonts w:asciiTheme="minorHAnsi" w:hAnsiTheme="minorHAnsi"/>
                <w:sz w:val="24"/>
                <w:szCs w:val="24"/>
              </w:rPr>
            </w:pPr>
            <w:r w:rsidRPr="006A66B2">
              <w:rPr>
                <w:rFonts w:asciiTheme="minorHAnsi" w:hAnsiTheme="minorHAnsi"/>
                <w:sz w:val="24"/>
                <w:szCs w:val="24"/>
              </w:rPr>
              <w:t>July 1, 2028</w:t>
            </w:r>
          </w:p>
        </w:tc>
        <w:tc>
          <w:tcPr>
            <w:tcW w:w="1320" w:type="dxa"/>
            <w:vAlign w:val="center"/>
            <w:hideMark/>
          </w:tcPr>
          <w:p w14:paraId="240B556E" w14:textId="77777777" w:rsidR="00E1475B" w:rsidRPr="006A66B2" w:rsidRDefault="00E1475B" w:rsidP="00E1475B">
            <w:pPr>
              <w:pStyle w:val="BodyText"/>
              <w:rPr>
                <w:rFonts w:asciiTheme="minorHAnsi" w:hAnsiTheme="minorHAnsi"/>
                <w:sz w:val="24"/>
                <w:szCs w:val="24"/>
              </w:rPr>
            </w:pPr>
            <w:r w:rsidRPr="006A66B2">
              <w:rPr>
                <w:rFonts w:asciiTheme="minorHAnsi" w:hAnsiTheme="minorHAnsi"/>
                <w:sz w:val="24"/>
                <w:szCs w:val="24"/>
              </w:rPr>
              <w:t>July 1, 2029</w:t>
            </w:r>
          </w:p>
        </w:tc>
        <w:tc>
          <w:tcPr>
            <w:tcW w:w="1426" w:type="dxa"/>
            <w:vAlign w:val="center"/>
            <w:hideMark/>
          </w:tcPr>
          <w:p w14:paraId="61D92723" w14:textId="77777777" w:rsidR="00E1475B" w:rsidRPr="006A66B2" w:rsidRDefault="00E1475B" w:rsidP="00E1475B">
            <w:pPr>
              <w:pStyle w:val="BodyText"/>
              <w:rPr>
                <w:rFonts w:asciiTheme="minorHAnsi" w:hAnsiTheme="minorHAnsi"/>
                <w:sz w:val="24"/>
                <w:szCs w:val="24"/>
              </w:rPr>
            </w:pPr>
            <w:r w:rsidRPr="006A66B2">
              <w:rPr>
                <w:rFonts w:asciiTheme="minorHAnsi" w:hAnsiTheme="minorHAnsi"/>
                <w:sz w:val="24"/>
                <w:szCs w:val="24"/>
              </w:rPr>
              <w:t>July 1, 2030</w:t>
            </w:r>
          </w:p>
        </w:tc>
      </w:tr>
      <w:tr w:rsidR="00E1475B" w:rsidRPr="006A66B2" w14:paraId="44212F9E" w14:textId="77777777" w:rsidTr="00E1475B">
        <w:trPr>
          <w:tblCellSpacing w:w="15" w:type="dxa"/>
        </w:trPr>
        <w:tc>
          <w:tcPr>
            <w:tcW w:w="2205" w:type="dxa"/>
            <w:vAlign w:val="center"/>
            <w:hideMark/>
          </w:tcPr>
          <w:p w14:paraId="634C79AE" w14:textId="77777777" w:rsidR="00E1475B" w:rsidRPr="00441207" w:rsidRDefault="00E1475B" w:rsidP="00E1475B">
            <w:pPr>
              <w:pStyle w:val="BodyText"/>
              <w:rPr>
                <w:rFonts w:asciiTheme="minorHAnsi" w:hAnsiTheme="minorHAnsi"/>
                <w:b/>
                <w:bCs/>
                <w:sz w:val="24"/>
                <w:szCs w:val="24"/>
              </w:rPr>
            </w:pPr>
            <w:r w:rsidRPr="00441207">
              <w:rPr>
                <w:rFonts w:asciiTheme="minorHAnsi" w:hAnsiTheme="minorHAnsi"/>
                <w:b/>
                <w:bCs/>
                <w:sz w:val="24"/>
                <w:szCs w:val="24"/>
              </w:rPr>
              <w:t>Base Charge</w:t>
            </w:r>
          </w:p>
        </w:tc>
        <w:tc>
          <w:tcPr>
            <w:tcW w:w="1140" w:type="dxa"/>
            <w:vAlign w:val="center"/>
            <w:hideMark/>
          </w:tcPr>
          <w:p w14:paraId="07E4FB3B" w14:textId="77777777" w:rsidR="00E1475B" w:rsidRPr="006A66B2" w:rsidRDefault="00E1475B" w:rsidP="00E1475B">
            <w:pPr>
              <w:pStyle w:val="BodyText"/>
              <w:rPr>
                <w:rFonts w:asciiTheme="minorHAnsi" w:hAnsiTheme="minorHAnsi"/>
                <w:sz w:val="24"/>
                <w:szCs w:val="24"/>
              </w:rPr>
            </w:pPr>
            <w:r w:rsidRPr="006A66B2">
              <w:rPr>
                <w:rFonts w:asciiTheme="minorHAnsi" w:hAnsiTheme="minorHAnsi"/>
                <w:sz w:val="24"/>
                <w:szCs w:val="24"/>
              </w:rPr>
              <w:t>account</w:t>
            </w:r>
          </w:p>
        </w:tc>
        <w:tc>
          <w:tcPr>
            <w:tcW w:w="1320" w:type="dxa"/>
            <w:vAlign w:val="center"/>
            <w:hideMark/>
          </w:tcPr>
          <w:p w14:paraId="7686B2F0" w14:textId="77777777" w:rsidR="00E1475B" w:rsidRPr="006A66B2" w:rsidRDefault="00E1475B" w:rsidP="00E1475B">
            <w:pPr>
              <w:pStyle w:val="BodyText"/>
              <w:rPr>
                <w:rFonts w:asciiTheme="minorHAnsi" w:hAnsiTheme="minorHAnsi"/>
                <w:sz w:val="24"/>
                <w:szCs w:val="24"/>
              </w:rPr>
            </w:pPr>
            <w:r w:rsidRPr="006A66B2">
              <w:rPr>
                <w:rFonts w:asciiTheme="minorHAnsi" w:hAnsiTheme="minorHAnsi"/>
                <w:sz w:val="24"/>
                <w:szCs w:val="24"/>
              </w:rPr>
              <w:t>$23.42</w:t>
            </w:r>
          </w:p>
        </w:tc>
        <w:tc>
          <w:tcPr>
            <w:tcW w:w="1320" w:type="dxa"/>
            <w:vAlign w:val="center"/>
            <w:hideMark/>
          </w:tcPr>
          <w:p w14:paraId="288B9D58" w14:textId="77777777" w:rsidR="00E1475B" w:rsidRPr="006A66B2" w:rsidRDefault="00E1475B" w:rsidP="00E1475B">
            <w:pPr>
              <w:pStyle w:val="BodyText"/>
              <w:rPr>
                <w:rFonts w:asciiTheme="minorHAnsi" w:hAnsiTheme="minorHAnsi"/>
                <w:sz w:val="24"/>
                <w:szCs w:val="24"/>
              </w:rPr>
            </w:pPr>
            <w:r w:rsidRPr="006A66B2">
              <w:rPr>
                <w:rFonts w:asciiTheme="minorHAnsi" w:hAnsiTheme="minorHAnsi"/>
                <w:sz w:val="24"/>
                <w:szCs w:val="24"/>
              </w:rPr>
              <w:t>$26.20</w:t>
            </w:r>
          </w:p>
        </w:tc>
        <w:tc>
          <w:tcPr>
            <w:tcW w:w="1320" w:type="dxa"/>
            <w:vAlign w:val="center"/>
            <w:hideMark/>
          </w:tcPr>
          <w:p w14:paraId="0F201210" w14:textId="77777777" w:rsidR="00E1475B" w:rsidRPr="006A66B2" w:rsidRDefault="00E1475B" w:rsidP="00E1475B">
            <w:pPr>
              <w:pStyle w:val="BodyText"/>
              <w:rPr>
                <w:rFonts w:asciiTheme="minorHAnsi" w:hAnsiTheme="minorHAnsi"/>
                <w:sz w:val="24"/>
                <w:szCs w:val="24"/>
              </w:rPr>
            </w:pPr>
            <w:r w:rsidRPr="006A66B2">
              <w:rPr>
                <w:rFonts w:asciiTheme="minorHAnsi" w:hAnsiTheme="minorHAnsi"/>
                <w:sz w:val="24"/>
                <w:szCs w:val="24"/>
              </w:rPr>
              <w:t>$29.31</w:t>
            </w:r>
          </w:p>
        </w:tc>
        <w:tc>
          <w:tcPr>
            <w:tcW w:w="1320" w:type="dxa"/>
            <w:vAlign w:val="center"/>
            <w:hideMark/>
          </w:tcPr>
          <w:p w14:paraId="5C61A22A" w14:textId="77777777" w:rsidR="00E1475B" w:rsidRPr="006A66B2" w:rsidRDefault="00E1475B" w:rsidP="00E1475B">
            <w:pPr>
              <w:pStyle w:val="BodyText"/>
              <w:rPr>
                <w:rFonts w:asciiTheme="minorHAnsi" w:hAnsiTheme="minorHAnsi"/>
                <w:sz w:val="24"/>
                <w:szCs w:val="24"/>
              </w:rPr>
            </w:pPr>
            <w:r w:rsidRPr="006A66B2">
              <w:rPr>
                <w:rFonts w:asciiTheme="minorHAnsi" w:hAnsiTheme="minorHAnsi"/>
                <w:sz w:val="24"/>
                <w:szCs w:val="24"/>
              </w:rPr>
              <w:t>$32.79</w:t>
            </w:r>
          </w:p>
        </w:tc>
        <w:tc>
          <w:tcPr>
            <w:tcW w:w="1426" w:type="dxa"/>
            <w:vAlign w:val="center"/>
            <w:hideMark/>
          </w:tcPr>
          <w:p w14:paraId="2897017F" w14:textId="77777777" w:rsidR="00E1475B" w:rsidRPr="006A66B2" w:rsidRDefault="00E1475B" w:rsidP="00E1475B">
            <w:pPr>
              <w:pStyle w:val="BodyText"/>
              <w:rPr>
                <w:rFonts w:asciiTheme="minorHAnsi" w:hAnsiTheme="minorHAnsi"/>
                <w:sz w:val="24"/>
                <w:szCs w:val="24"/>
              </w:rPr>
            </w:pPr>
            <w:r w:rsidRPr="006A66B2">
              <w:rPr>
                <w:rFonts w:asciiTheme="minorHAnsi" w:hAnsiTheme="minorHAnsi"/>
                <w:sz w:val="24"/>
                <w:szCs w:val="24"/>
              </w:rPr>
              <w:t>$36.68</w:t>
            </w:r>
          </w:p>
        </w:tc>
      </w:tr>
    </w:tbl>
    <w:p w14:paraId="0CA688D5" w14:textId="77777777" w:rsidR="00441207" w:rsidRPr="00C40176" w:rsidRDefault="00441207" w:rsidP="00C40176"/>
    <w:p w14:paraId="0D1B2733" w14:textId="77777777" w:rsidR="00C40176" w:rsidRDefault="00C40176" w:rsidP="00C40176">
      <w:pPr>
        <w:pStyle w:val="BodyText"/>
        <w:jc w:val="center"/>
        <w:rPr>
          <w:rFonts w:asciiTheme="minorHAnsi" w:hAnsiTheme="minorHAnsi"/>
          <w:b/>
          <w:bCs/>
          <w:sz w:val="24"/>
          <w:szCs w:val="24"/>
        </w:rPr>
      </w:pPr>
      <w:r w:rsidRPr="006A66B2">
        <w:rPr>
          <w:rFonts w:asciiTheme="minorHAnsi" w:hAnsiTheme="minorHAnsi"/>
          <w:b/>
          <w:bCs/>
          <w:sz w:val="24"/>
          <w:szCs w:val="24"/>
        </w:rPr>
        <w:t>Commercial Individual</w:t>
      </w:r>
    </w:p>
    <w:p w14:paraId="527C348D" w14:textId="77777777" w:rsidR="00E1475B" w:rsidRPr="006A66B2" w:rsidRDefault="00E1475B" w:rsidP="00C40176">
      <w:pPr>
        <w:pStyle w:val="BodyText"/>
        <w:jc w:val="center"/>
        <w:rPr>
          <w:rFonts w:asciiTheme="minorHAnsi" w:hAnsiTheme="minorHAnsi"/>
          <w:b/>
          <w:bCs/>
          <w:sz w:val="24"/>
          <w:szCs w:val="24"/>
        </w:rPr>
      </w:pPr>
    </w:p>
    <w:tbl>
      <w:tblPr>
        <w:tblW w:w="10260" w:type="dxa"/>
        <w:tblCellSpacing w:w="15" w:type="dxa"/>
        <w:tblInd w:w="-360" w:type="dxa"/>
        <w:tblCellMar>
          <w:top w:w="15" w:type="dxa"/>
          <w:left w:w="15" w:type="dxa"/>
          <w:bottom w:w="15" w:type="dxa"/>
          <w:right w:w="15" w:type="dxa"/>
        </w:tblCellMar>
        <w:tblLook w:val="04A0" w:firstRow="1" w:lastRow="0" w:firstColumn="1" w:lastColumn="0" w:noHBand="0" w:noVBand="1"/>
      </w:tblPr>
      <w:tblGrid>
        <w:gridCol w:w="2250"/>
        <w:gridCol w:w="1204"/>
        <w:gridCol w:w="1316"/>
        <w:gridCol w:w="1350"/>
        <w:gridCol w:w="1350"/>
        <w:gridCol w:w="1350"/>
        <w:gridCol w:w="1440"/>
      </w:tblGrid>
      <w:tr w:rsidR="00C40176" w:rsidRPr="006A66B2" w14:paraId="5FD2186B" w14:textId="77777777" w:rsidTr="00C40176">
        <w:trPr>
          <w:tblHeader/>
          <w:tblCellSpacing w:w="15" w:type="dxa"/>
        </w:trPr>
        <w:tc>
          <w:tcPr>
            <w:tcW w:w="2205" w:type="dxa"/>
            <w:vAlign w:val="center"/>
            <w:hideMark/>
          </w:tcPr>
          <w:p w14:paraId="65BB9881" w14:textId="77777777" w:rsidR="00C40176" w:rsidRPr="006A66B2" w:rsidRDefault="00C40176" w:rsidP="00B13254">
            <w:pPr>
              <w:pStyle w:val="BodyText"/>
              <w:rPr>
                <w:rFonts w:asciiTheme="minorHAnsi" w:hAnsiTheme="minorHAnsi"/>
                <w:sz w:val="24"/>
                <w:szCs w:val="24"/>
              </w:rPr>
            </w:pPr>
            <w:r w:rsidRPr="006A66B2">
              <w:rPr>
                <w:rFonts w:asciiTheme="minorHAnsi" w:hAnsiTheme="minorHAnsi"/>
                <w:sz w:val="24"/>
                <w:szCs w:val="24"/>
              </w:rPr>
              <w:t>Category</w:t>
            </w:r>
          </w:p>
        </w:tc>
        <w:tc>
          <w:tcPr>
            <w:tcW w:w="1174" w:type="dxa"/>
            <w:vAlign w:val="center"/>
            <w:hideMark/>
          </w:tcPr>
          <w:p w14:paraId="68D689EB" w14:textId="77777777" w:rsidR="00C40176" w:rsidRPr="006A66B2" w:rsidRDefault="00C40176" w:rsidP="00B13254">
            <w:pPr>
              <w:pStyle w:val="BodyText"/>
              <w:rPr>
                <w:rFonts w:asciiTheme="minorHAnsi" w:hAnsiTheme="minorHAnsi"/>
                <w:sz w:val="24"/>
                <w:szCs w:val="24"/>
              </w:rPr>
            </w:pPr>
            <w:r w:rsidRPr="006A66B2">
              <w:rPr>
                <w:rFonts w:asciiTheme="minorHAnsi" w:hAnsiTheme="minorHAnsi"/>
                <w:sz w:val="24"/>
                <w:szCs w:val="24"/>
              </w:rPr>
              <w:t>Unit</w:t>
            </w:r>
          </w:p>
        </w:tc>
        <w:tc>
          <w:tcPr>
            <w:tcW w:w="1286" w:type="dxa"/>
            <w:vAlign w:val="center"/>
            <w:hideMark/>
          </w:tcPr>
          <w:p w14:paraId="0975DC48" w14:textId="77777777" w:rsidR="00C40176" w:rsidRPr="006A66B2" w:rsidRDefault="00C40176" w:rsidP="00B13254">
            <w:pPr>
              <w:pStyle w:val="BodyText"/>
              <w:rPr>
                <w:rFonts w:asciiTheme="minorHAnsi" w:hAnsiTheme="minorHAnsi"/>
                <w:sz w:val="24"/>
                <w:szCs w:val="24"/>
              </w:rPr>
            </w:pPr>
            <w:r w:rsidRPr="006A66B2">
              <w:rPr>
                <w:rFonts w:asciiTheme="minorHAnsi" w:hAnsiTheme="minorHAnsi"/>
                <w:sz w:val="24"/>
                <w:szCs w:val="24"/>
              </w:rPr>
              <w:t>Jan 1, 2026</w:t>
            </w:r>
          </w:p>
        </w:tc>
        <w:tc>
          <w:tcPr>
            <w:tcW w:w="1320" w:type="dxa"/>
            <w:vAlign w:val="center"/>
            <w:hideMark/>
          </w:tcPr>
          <w:p w14:paraId="09907CD1" w14:textId="77777777" w:rsidR="00C40176" w:rsidRPr="006A66B2" w:rsidRDefault="00C40176" w:rsidP="00B13254">
            <w:pPr>
              <w:pStyle w:val="BodyText"/>
              <w:rPr>
                <w:rFonts w:asciiTheme="minorHAnsi" w:hAnsiTheme="minorHAnsi"/>
                <w:sz w:val="24"/>
                <w:szCs w:val="24"/>
              </w:rPr>
            </w:pPr>
            <w:r w:rsidRPr="006A66B2">
              <w:rPr>
                <w:rFonts w:asciiTheme="minorHAnsi" w:hAnsiTheme="minorHAnsi"/>
                <w:sz w:val="24"/>
                <w:szCs w:val="24"/>
              </w:rPr>
              <w:t>July 1, 2027</w:t>
            </w:r>
          </w:p>
        </w:tc>
        <w:tc>
          <w:tcPr>
            <w:tcW w:w="1320" w:type="dxa"/>
            <w:vAlign w:val="center"/>
            <w:hideMark/>
          </w:tcPr>
          <w:p w14:paraId="07111C6B" w14:textId="77777777" w:rsidR="00C40176" w:rsidRPr="006A66B2" w:rsidRDefault="00C40176" w:rsidP="00B13254">
            <w:pPr>
              <w:pStyle w:val="BodyText"/>
              <w:rPr>
                <w:rFonts w:asciiTheme="minorHAnsi" w:hAnsiTheme="minorHAnsi"/>
                <w:sz w:val="24"/>
                <w:szCs w:val="24"/>
              </w:rPr>
            </w:pPr>
            <w:r w:rsidRPr="006A66B2">
              <w:rPr>
                <w:rFonts w:asciiTheme="minorHAnsi" w:hAnsiTheme="minorHAnsi"/>
                <w:sz w:val="24"/>
                <w:szCs w:val="24"/>
              </w:rPr>
              <w:t>July 1, 2028</w:t>
            </w:r>
          </w:p>
        </w:tc>
        <w:tc>
          <w:tcPr>
            <w:tcW w:w="1320" w:type="dxa"/>
            <w:vAlign w:val="center"/>
            <w:hideMark/>
          </w:tcPr>
          <w:p w14:paraId="367BFB14" w14:textId="77777777" w:rsidR="00C40176" w:rsidRPr="006A66B2" w:rsidRDefault="00C40176" w:rsidP="00B13254">
            <w:pPr>
              <w:pStyle w:val="BodyText"/>
              <w:rPr>
                <w:rFonts w:asciiTheme="minorHAnsi" w:hAnsiTheme="minorHAnsi"/>
                <w:sz w:val="24"/>
                <w:szCs w:val="24"/>
              </w:rPr>
            </w:pPr>
            <w:r w:rsidRPr="006A66B2">
              <w:rPr>
                <w:rFonts w:asciiTheme="minorHAnsi" w:hAnsiTheme="minorHAnsi"/>
                <w:sz w:val="24"/>
                <w:szCs w:val="24"/>
              </w:rPr>
              <w:t>July 1, 2029</w:t>
            </w:r>
          </w:p>
        </w:tc>
        <w:tc>
          <w:tcPr>
            <w:tcW w:w="1395" w:type="dxa"/>
            <w:vAlign w:val="center"/>
            <w:hideMark/>
          </w:tcPr>
          <w:p w14:paraId="4D5C0FAC" w14:textId="77777777" w:rsidR="00C40176" w:rsidRPr="006A66B2" w:rsidRDefault="00C40176" w:rsidP="00B13254">
            <w:pPr>
              <w:pStyle w:val="BodyText"/>
              <w:rPr>
                <w:rFonts w:asciiTheme="minorHAnsi" w:hAnsiTheme="minorHAnsi"/>
                <w:sz w:val="24"/>
                <w:szCs w:val="24"/>
              </w:rPr>
            </w:pPr>
            <w:r w:rsidRPr="006A66B2">
              <w:rPr>
                <w:rFonts w:asciiTheme="minorHAnsi" w:hAnsiTheme="minorHAnsi"/>
                <w:sz w:val="24"/>
                <w:szCs w:val="24"/>
              </w:rPr>
              <w:t>July 1, 2030</w:t>
            </w:r>
          </w:p>
        </w:tc>
      </w:tr>
      <w:tr w:rsidR="00C40176" w:rsidRPr="006A66B2" w14:paraId="0B8BD1A9" w14:textId="77777777" w:rsidTr="00C40176">
        <w:trPr>
          <w:tblCellSpacing w:w="15" w:type="dxa"/>
        </w:trPr>
        <w:tc>
          <w:tcPr>
            <w:tcW w:w="2205" w:type="dxa"/>
            <w:vAlign w:val="center"/>
            <w:hideMark/>
          </w:tcPr>
          <w:p w14:paraId="19FFA008" w14:textId="77777777" w:rsidR="00C40176" w:rsidRPr="006A66B2" w:rsidRDefault="00C40176" w:rsidP="00B13254">
            <w:pPr>
              <w:pStyle w:val="BodyText"/>
              <w:rPr>
                <w:rFonts w:asciiTheme="minorHAnsi" w:hAnsiTheme="minorHAnsi"/>
                <w:sz w:val="24"/>
                <w:szCs w:val="24"/>
              </w:rPr>
            </w:pPr>
            <w:r w:rsidRPr="006A66B2">
              <w:rPr>
                <w:rFonts w:asciiTheme="minorHAnsi" w:hAnsiTheme="minorHAnsi"/>
                <w:sz w:val="24"/>
                <w:szCs w:val="24"/>
              </w:rPr>
              <w:t>Car Wash</w:t>
            </w:r>
          </w:p>
        </w:tc>
        <w:tc>
          <w:tcPr>
            <w:tcW w:w="1174" w:type="dxa"/>
            <w:vAlign w:val="center"/>
            <w:hideMark/>
          </w:tcPr>
          <w:p w14:paraId="7EAB209A" w14:textId="77777777" w:rsidR="00C40176" w:rsidRPr="006A66B2" w:rsidRDefault="00C40176" w:rsidP="00B13254">
            <w:pPr>
              <w:pStyle w:val="BodyText"/>
              <w:rPr>
                <w:rFonts w:asciiTheme="minorHAnsi" w:hAnsiTheme="minorHAnsi"/>
                <w:sz w:val="24"/>
                <w:szCs w:val="24"/>
              </w:rPr>
            </w:pPr>
            <w:r w:rsidRPr="006A66B2">
              <w:rPr>
                <w:rFonts w:asciiTheme="minorHAnsi" w:hAnsiTheme="minorHAnsi"/>
                <w:sz w:val="24"/>
                <w:szCs w:val="24"/>
              </w:rPr>
              <w:t>facility</w:t>
            </w:r>
          </w:p>
        </w:tc>
        <w:tc>
          <w:tcPr>
            <w:tcW w:w="1286" w:type="dxa"/>
            <w:vAlign w:val="center"/>
            <w:hideMark/>
          </w:tcPr>
          <w:p w14:paraId="060EC203" w14:textId="77777777" w:rsidR="00C40176" w:rsidRPr="006A66B2" w:rsidRDefault="00C40176" w:rsidP="00B13254">
            <w:pPr>
              <w:pStyle w:val="BodyText"/>
              <w:rPr>
                <w:rFonts w:asciiTheme="minorHAnsi" w:hAnsiTheme="minorHAnsi"/>
                <w:sz w:val="24"/>
                <w:szCs w:val="24"/>
              </w:rPr>
            </w:pPr>
            <w:r w:rsidRPr="006A66B2">
              <w:rPr>
                <w:rFonts w:asciiTheme="minorHAnsi" w:hAnsiTheme="minorHAnsi"/>
                <w:sz w:val="24"/>
                <w:szCs w:val="24"/>
              </w:rPr>
              <w:t>$1,053.74</w:t>
            </w:r>
          </w:p>
        </w:tc>
        <w:tc>
          <w:tcPr>
            <w:tcW w:w="1320" w:type="dxa"/>
            <w:vAlign w:val="center"/>
            <w:hideMark/>
          </w:tcPr>
          <w:p w14:paraId="7F35AF8C" w14:textId="77777777" w:rsidR="00C40176" w:rsidRPr="006A66B2" w:rsidRDefault="00C40176" w:rsidP="00B13254">
            <w:pPr>
              <w:pStyle w:val="BodyText"/>
              <w:rPr>
                <w:rFonts w:asciiTheme="minorHAnsi" w:hAnsiTheme="minorHAnsi"/>
                <w:sz w:val="24"/>
                <w:szCs w:val="24"/>
              </w:rPr>
            </w:pPr>
            <w:r w:rsidRPr="006A66B2">
              <w:rPr>
                <w:rFonts w:asciiTheme="minorHAnsi" w:hAnsiTheme="minorHAnsi"/>
                <w:sz w:val="24"/>
                <w:szCs w:val="24"/>
              </w:rPr>
              <w:t>$1,180.19</w:t>
            </w:r>
          </w:p>
        </w:tc>
        <w:tc>
          <w:tcPr>
            <w:tcW w:w="1320" w:type="dxa"/>
            <w:vAlign w:val="center"/>
            <w:hideMark/>
          </w:tcPr>
          <w:p w14:paraId="499C927B" w14:textId="77777777" w:rsidR="00C40176" w:rsidRPr="006A66B2" w:rsidRDefault="00C40176" w:rsidP="00B13254">
            <w:pPr>
              <w:pStyle w:val="BodyText"/>
              <w:rPr>
                <w:rFonts w:asciiTheme="minorHAnsi" w:hAnsiTheme="minorHAnsi"/>
                <w:sz w:val="24"/>
                <w:szCs w:val="24"/>
              </w:rPr>
            </w:pPr>
            <w:r w:rsidRPr="006A66B2">
              <w:rPr>
                <w:rFonts w:asciiTheme="minorHAnsi" w:hAnsiTheme="minorHAnsi"/>
                <w:sz w:val="24"/>
                <w:szCs w:val="24"/>
              </w:rPr>
              <w:t>$1,321.81</w:t>
            </w:r>
          </w:p>
        </w:tc>
        <w:tc>
          <w:tcPr>
            <w:tcW w:w="1320" w:type="dxa"/>
            <w:vAlign w:val="center"/>
            <w:hideMark/>
          </w:tcPr>
          <w:p w14:paraId="16AC6602" w14:textId="77777777" w:rsidR="00C40176" w:rsidRPr="006A66B2" w:rsidRDefault="00C40176" w:rsidP="00B13254">
            <w:pPr>
              <w:pStyle w:val="BodyText"/>
              <w:rPr>
                <w:rFonts w:asciiTheme="minorHAnsi" w:hAnsiTheme="minorHAnsi"/>
                <w:sz w:val="24"/>
                <w:szCs w:val="24"/>
              </w:rPr>
            </w:pPr>
            <w:r w:rsidRPr="006A66B2">
              <w:rPr>
                <w:rFonts w:asciiTheme="minorHAnsi" w:hAnsiTheme="minorHAnsi"/>
                <w:sz w:val="24"/>
                <w:szCs w:val="24"/>
              </w:rPr>
              <w:t>$1,480.43</w:t>
            </w:r>
          </w:p>
        </w:tc>
        <w:tc>
          <w:tcPr>
            <w:tcW w:w="1395" w:type="dxa"/>
            <w:vAlign w:val="center"/>
            <w:hideMark/>
          </w:tcPr>
          <w:p w14:paraId="6ED20EB9" w14:textId="77777777" w:rsidR="00C40176" w:rsidRPr="006A66B2" w:rsidRDefault="00C40176" w:rsidP="00B13254">
            <w:pPr>
              <w:pStyle w:val="BodyText"/>
              <w:rPr>
                <w:rFonts w:asciiTheme="minorHAnsi" w:hAnsiTheme="minorHAnsi"/>
                <w:sz w:val="24"/>
                <w:szCs w:val="24"/>
              </w:rPr>
            </w:pPr>
            <w:r w:rsidRPr="006A66B2">
              <w:rPr>
                <w:rFonts w:asciiTheme="minorHAnsi" w:hAnsiTheme="minorHAnsi"/>
                <w:sz w:val="24"/>
                <w:szCs w:val="24"/>
              </w:rPr>
              <w:t>$1,658.08</w:t>
            </w:r>
          </w:p>
        </w:tc>
      </w:tr>
      <w:tr w:rsidR="00C40176" w:rsidRPr="006A66B2" w14:paraId="270508BA" w14:textId="77777777" w:rsidTr="00C40176">
        <w:trPr>
          <w:tblCellSpacing w:w="15" w:type="dxa"/>
        </w:trPr>
        <w:tc>
          <w:tcPr>
            <w:tcW w:w="2205" w:type="dxa"/>
            <w:vAlign w:val="center"/>
            <w:hideMark/>
          </w:tcPr>
          <w:p w14:paraId="0DF6FD04" w14:textId="77777777" w:rsidR="00C40176" w:rsidRPr="006A66B2" w:rsidRDefault="00C40176" w:rsidP="00B13254">
            <w:pPr>
              <w:pStyle w:val="BodyText"/>
              <w:rPr>
                <w:rFonts w:asciiTheme="minorHAnsi" w:hAnsiTheme="minorHAnsi"/>
                <w:sz w:val="24"/>
                <w:szCs w:val="24"/>
              </w:rPr>
            </w:pPr>
            <w:r w:rsidRPr="006A66B2">
              <w:rPr>
                <w:rFonts w:asciiTheme="minorHAnsi" w:hAnsiTheme="minorHAnsi"/>
                <w:sz w:val="24"/>
                <w:szCs w:val="24"/>
              </w:rPr>
              <w:t>Grocery Store</w:t>
            </w:r>
          </w:p>
        </w:tc>
        <w:tc>
          <w:tcPr>
            <w:tcW w:w="1174" w:type="dxa"/>
            <w:vAlign w:val="center"/>
            <w:hideMark/>
          </w:tcPr>
          <w:p w14:paraId="575533E8" w14:textId="77777777" w:rsidR="00C40176" w:rsidRPr="006A66B2" w:rsidRDefault="00C40176" w:rsidP="00B13254">
            <w:pPr>
              <w:pStyle w:val="BodyText"/>
              <w:rPr>
                <w:rFonts w:asciiTheme="minorHAnsi" w:hAnsiTheme="minorHAnsi"/>
                <w:sz w:val="24"/>
                <w:szCs w:val="24"/>
              </w:rPr>
            </w:pPr>
            <w:r w:rsidRPr="006A66B2">
              <w:rPr>
                <w:rFonts w:asciiTheme="minorHAnsi" w:hAnsiTheme="minorHAnsi"/>
                <w:sz w:val="24"/>
                <w:szCs w:val="24"/>
              </w:rPr>
              <w:t>store</w:t>
            </w:r>
          </w:p>
        </w:tc>
        <w:tc>
          <w:tcPr>
            <w:tcW w:w="1286" w:type="dxa"/>
            <w:vAlign w:val="center"/>
            <w:hideMark/>
          </w:tcPr>
          <w:p w14:paraId="7AB5209F" w14:textId="77777777" w:rsidR="00C40176" w:rsidRPr="006A66B2" w:rsidRDefault="00C40176" w:rsidP="00B13254">
            <w:pPr>
              <w:pStyle w:val="BodyText"/>
              <w:rPr>
                <w:rFonts w:asciiTheme="minorHAnsi" w:hAnsiTheme="minorHAnsi"/>
                <w:sz w:val="24"/>
                <w:szCs w:val="24"/>
              </w:rPr>
            </w:pPr>
            <w:r w:rsidRPr="006A66B2">
              <w:rPr>
                <w:rFonts w:asciiTheme="minorHAnsi" w:hAnsiTheme="minorHAnsi"/>
                <w:sz w:val="24"/>
                <w:szCs w:val="24"/>
              </w:rPr>
              <w:t>$589.55</w:t>
            </w:r>
          </w:p>
        </w:tc>
        <w:tc>
          <w:tcPr>
            <w:tcW w:w="1320" w:type="dxa"/>
            <w:vAlign w:val="center"/>
            <w:hideMark/>
          </w:tcPr>
          <w:p w14:paraId="11B16FB2" w14:textId="77777777" w:rsidR="00C40176" w:rsidRPr="006A66B2" w:rsidRDefault="00C40176" w:rsidP="00B13254">
            <w:pPr>
              <w:pStyle w:val="BodyText"/>
              <w:rPr>
                <w:rFonts w:asciiTheme="minorHAnsi" w:hAnsiTheme="minorHAnsi"/>
                <w:sz w:val="24"/>
                <w:szCs w:val="24"/>
              </w:rPr>
            </w:pPr>
            <w:r w:rsidRPr="006A66B2">
              <w:rPr>
                <w:rFonts w:asciiTheme="minorHAnsi" w:hAnsiTheme="minorHAnsi"/>
                <w:sz w:val="24"/>
                <w:szCs w:val="24"/>
              </w:rPr>
              <w:t>$660.30</w:t>
            </w:r>
          </w:p>
        </w:tc>
        <w:tc>
          <w:tcPr>
            <w:tcW w:w="1320" w:type="dxa"/>
            <w:vAlign w:val="center"/>
            <w:hideMark/>
          </w:tcPr>
          <w:p w14:paraId="5F16C3EC" w14:textId="77777777" w:rsidR="00C40176" w:rsidRPr="006A66B2" w:rsidRDefault="00C40176" w:rsidP="00B13254">
            <w:pPr>
              <w:pStyle w:val="BodyText"/>
              <w:rPr>
                <w:rFonts w:asciiTheme="minorHAnsi" w:hAnsiTheme="minorHAnsi"/>
                <w:sz w:val="24"/>
                <w:szCs w:val="24"/>
              </w:rPr>
            </w:pPr>
            <w:r w:rsidRPr="006A66B2">
              <w:rPr>
                <w:rFonts w:asciiTheme="minorHAnsi" w:hAnsiTheme="minorHAnsi"/>
                <w:sz w:val="24"/>
                <w:szCs w:val="24"/>
              </w:rPr>
              <w:t>$739.54</w:t>
            </w:r>
          </w:p>
        </w:tc>
        <w:tc>
          <w:tcPr>
            <w:tcW w:w="1320" w:type="dxa"/>
            <w:vAlign w:val="center"/>
            <w:hideMark/>
          </w:tcPr>
          <w:p w14:paraId="076720C9" w14:textId="77777777" w:rsidR="00C40176" w:rsidRPr="006A66B2" w:rsidRDefault="00C40176" w:rsidP="00B13254">
            <w:pPr>
              <w:pStyle w:val="BodyText"/>
              <w:rPr>
                <w:rFonts w:asciiTheme="minorHAnsi" w:hAnsiTheme="minorHAnsi"/>
                <w:sz w:val="24"/>
                <w:szCs w:val="24"/>
              </w:rPr>
            </w:pPr>
            <w:r w:rsidRPr="006A66B2">
              <w:rPr>
                <w:rFonts w:asciiTheme="minorHAnsi" w:hAnsiTheme="minorHAnsi"/>
                <w:sz w:val="24"/>
                <w:szCs w:val="24"/>
              </w:rPr>
              <w:t>$828.28</w:t>
            </w:r>
          </w:p>
        </w:tc>
        <w:tc>
          <w:tcPr>
            <w:tcW w:w="1395" w:type="dxa"/>
            <w:vAlign w:val="center"/>
            <w:hideMark/>
          </w:tcPr>
          <w:p w14:paraId="1A616FA7" w14:textId="77777777" w:rsidR="00C40176" w:rsidRPr="006A66B2" w:rsidRDefault="00C40176" w:rsidP="00B13254">
            <w:pPr>
              <w:pStyle w:val="BodyText"/>
              <w:rPr>
                <w:rFonts w:asciiTheme="minorHAnsi" w:hAnsiTheme="minorHAnsi"/>
                <w:sz w:val="24"/>
                <w:szCs w:val="24"/>
              </w:rPr>
            </w:pPr>
            <w:r w:rsidRPr="006A66B2">
              <w:rPr>
                <w:rFonts w:asciiTheme="minorHAnsi" w:hAnsiTheme="minorHAnsi"/>
                <w:sz w:val="24"/>
                <w:szCs w:val="24"/>
              </w:rPr>
              <w:t>$927.68</w:t>
            </w:r>
          </w:p>
        </w:tc>
      </w:tr>
      <w:tr w:rsidR="00C40176" w:rsidRPr="006A66B2" w14:paraId="2AC34AA0" w14:textId="77777777" w:rsidTr="00C40176">
        <w:trPr>
          <w:tblCellSpacing w:w="15" w:type="dxa"/>
        </w:trPr>
        <w:tc>
          <w:tcPr>
            <w:tcW w:w="2205" w:type="dxa"/>
            <w:vAlign w:val="center"/>
            <w:hideMark/>
          </w:tcPr>
          <w:p w14:paraId="072C7DBF" w14:textId="77777777" w:rsidR="00C40176" w:rsidRPr="006A66B2" w:rsidRDefault="00C40176" w:rsidP="00B13254">
            <w:pPr>
              <w:pStyle w:val="BodyText"/>
              <w:rPr>
                <w:rFonts w:asciiTheme="minorHAnsi" w:hAnsiTheme="minorHAnsi"/>
                <w:sz w:val="24"/>
                <w:szCs w:val="24"/>
              </w:rPr>
            </w:pPr>
            <w:r w:rsidRPr="006A66B2">
              <w:rPr>
                <w:rFonts w:asciiTheme="minorHAnsi" w:hAnsiTheme="minorHAnsi"/>
                <w:sz w:val="24"/>
                <w:szCs w:val="24"/>
              </w:rPr>
              <w:t>Ironstone Vineyards</w:t>
            </w:r>
          </w:p>
        </w:tc>
        <w:tc>
          <w:tcPr>
            <w:tcW w:w="1174" w:type="dxa"/>
            <w:vAlign w:val="center"/>
            <w:hideMark/>
          </w:tcPr>
          <w:p w14:paraId="50E0C860" w14:textId="77777777" w:rsidR="00C40176" w:rsidRPr="006A66B2" w:rsidRDefault="00C40176" w:rsidP="00B13254">
            <w:pPr>
              <w:pStyle w:val="BodyText"/>
              <w:rPr>
                <w:rFonts w:asciiTheme="minorHAnsi" w:hAnsiTheme="minorHAnsi"/>
                <w:sz w:val="24"/>
                <w:szCs w:val="24"/>
              </w:rPr>
            </w:pPr>
            <w:r w:rsidRPr="006A66B2">
              <w:rPr>
                <w:rFonts w:asciiTheme="minorHAnsi" w:hAnsiTheme="minorHAnsi"/>
                <w:sz w:val="24"/>
                <w:szCs w:val="24"/>
              </w:rPr>
              <w:t>complex</w:t>
            </w:r>
          </w:p>
        </w:tc>
        <w:tc>
          <w:tcPr>
            <w:tcW w:w="1286" w:type="dxa"/>
            <w:vAlign w:val="center"/>
            <w:hideMark/>
          </w:tcPr>
          <w:p w14:paraId="5A73E95C" w14:textId="77777777" w:rsidR="00C40176" w:rsidRPr="006A66B2" w:rsidRDefault="00C40176" w:rsidP="00B13254">
            <w:pPr>
              <w:pStyle w:val="BodyText"/>
              <w:rPr>
                <w:rFonts w:asciiTheme="minorHAnsi" w:hAnsiTheme="minorHAnsi"/>
                <w:sz w:val="24"/>
                <w:szCs w:val="24"/>
              </w:rPr>
            </w:pPr>
            <w:r w:rsidRPr="006A66B2">
              <w:rPr>
                <w:rFonts w:asciiTheme="minorHAnsi" w:hAnsiTheme="minorHAnsi"/>
                <w:sz w:val="24"/>
                <w:szCs w:val="24"/>
              </w:rPr>
              <w:t>$3,263.71</w:t>
            </w:r>
          </w:p>
        </w:tc>
        <w:tc>
          <w:tcPr>
            <w:tcW w:w="1320" w:type="dxa"/>
            <w:vAlign w:val="center"/>
            <w:hideMark/>
          </w:tcPr>
          <w:p w14:paraId="2BCC4A23" w14:textId="77777777" w:rsidR="00C40176" w:rsidRPr="006A66B2" w:rsidRDefault="00C40176" w:rsidP="00B13254">
            <w:pPr>
              <w:pStyle w:val="BodyText"/>
              <w:rPr>
                <w:rFonts w:asciiTheme="minorHAnsi" w:hAnsiTheme="minorHAnsi"/>
                <w:sz w:val="24"/>
                <w:szCs w:val="24"/>
              </w:rPr>
            </w:pPr>
            <w:r w:rsidRPr="006A66B2">
              <w:rPr>
                <w:rFonts w:asciiTheme="minorHAnsi" w:hAnsiTheme="minorHAnsi"/>
                <w:sz w:val="24"/>
                <w:szCs w:val="24"/>
              </w:rPr>
              <w:t>$3,655.36</w:t>
            </w:r>
          </w:p>
        </w:tc>
        <w:tc>
          <w:tcPr>
            <w:tcW w:w="1320" w:type="dxa"/>
            <w:vAlign w:val="center"/>
            <w:hideMark/>
          </w:tcPr>
          <w:p w14:paraId="5744E0C7" w14:textId="77777777" w:rsidR="00C40176" w:rsidRPr="006A66B2" w:rsidRDefault="00C40176" w:rsidP="00B13254">
            <w:pPr>
              <w:pStyle w:val="BodyText"/>
              <w:rPr>
                <w:rFonts w:asciiTheme="minorHAnsi" w:hAnsiTheme="minorHAnsi"/>
                <w:sz w:val="24"/>
                <w:szCs w:val="24"/>
              </w:rPr>
            </w:pPr>
            <w:r w:rsidRPr="006A66B2">
              <w:rPr>
                <w:rFonts w:asciiTheme="minorHAnsi" w:hAnsiTheme="minorHAnsi"/>
                <w:sz w:val="24"/>
                <w:szCs w:val="24"/>
              </w:rPr>
              <w:t>$4,094.00</w:t>
            </w:r>
          </w:p>
        </w:tc>
        <w:tc>
          <w:tcPr>
            <w:tcW w:w="1320" w:type="dxa"/>
            <w:vAlign w:val="center"/>
            <w:hideMark/>
          </w:tcPr>
          <w:p w14:paraId="087017C0" w14:textId="77777777" w:rsidR="00C40176" w:rsidRPr="006A66B2" w:rsidRDefault="00C40176" w:rsidP="00B13254">
            <w:pPr>
              <w:pStyle w:val="BodyText"/>
              <w:rPr>
                <w:rFonts w:asciiTheme="minorHAnsi" w:hAnsiTheme="minorHAnsi"/>
                <w:sz w:val="24"/>
                <w:szCs w:val="24"/>
              </w:rPr>
            </w:pPr>
            <w:r w:rsidRPr="006A66B2">
              <w:rPr>
                <w:rFonts w:asciiTheme="minorHAnsi" w:hAnsiTheme="minorHAnsi"/>
                <w:sz w:val="24"/>
                <w:szCs w:val="24"/>
              </w:rPr>
              <w:t>$4,585.28</w:t>
            </w:r>
          </w:p>
        </w:tc>
        <w:tc>
          <w:tcPr>
            <w:tcW w:w="1395" w:type="dxa"/>
            <w:vAlign w:val="center"/>
            <w:hideMark/>
          </w:tcPr>
          <w:p w14:paraId="4F4BD1FA" w14:textId="77777777" w:rsidR="00C40176" w:rsidRPr="006A66B2" w:rsidRDefault="00C40176" w:rsidP="00B13254">
            <w:pPr>
              <w:pStyle w:val="BodyText"/>
              <w:rPr>
                <w:rFonts w:asciiTheme="minorHAnsi" w:hAnsiTheme="minorHAnsi"/>
                <w:sz w:val="24"/>
                <w:szCs w:val="24"/>
              </w:rPr>
            </w:pPr>
            <w:r w:rsidRPr="006A66B2">
              <w:rPr>
                <w:rFonts w:asciiTheme="minorHAnsi" w:hAnsiTheme="minorHAnsi"/>
                <w:sz w:val="24"/>
                <w:szCs w:val="24"/>
              </w:rPr>
              <w:t>$5,135.52</w:t>
            </w:r>
          </w:p>
        </w:tc>
      </w:tr>
    </w:tbl>
    <w:p w14:paraId="4216CB8E" w14:textId="77777777" w:rsidR="00E1475B" w:rsidRDefault="00C40176" w:rsidP="00C40176">
      <w:pPr>
        <w:pStyle w:val="BodyText"/>
        <w:rPr>
          <w:rFonts w:asciiTheme="minorHAnsi" w:hAnsiTheme="minorHAnsi"/>
          <w:b/>
          <w:bCs/>
          <w:sz w:val="24"/>
          <w:szCs w:val="24"/>
        </w:rPr>
      </w:pPr>
      <w:r>
        <w:rPr>
          <w:rFonts w:asciiTheme="minorHAnsi" w:hAnsiTheme="minorHAnsi"/>
          <w:b/>
          <w:bCs/>
          <w:sz w:val="24"/>
          <w:szCs w:val="24"/>
        </w:rPr>
        <w:t xml:space="preserve">                                                                              </w:t>
      </w:r>
    </w:p>
    <w:p w14:paraId="0B2B937A" w14:textId="77777777" w:rsidR="00E1475B" w:rsidRDefault="00E1475B" w:rsidP="00C40176">
      <w:pPr>
        <w:pStyle w:val="BodyText"/>
        <w:rPr>
          <w:rFonts w:asciiTheme="minorHAnsi" w:hAnsiTheme="minorHAnsi"/>
          <w:b/>
          <w:bCs/>
          <w:sz w:val="24"/>
          <w:szCs w:val="24"/>
        </w:rPr>
      </w:pPr>
    </w:p>
    <w:p w14:paraId="61524AA6" w14:textId="21C55490" w:rsidR="00C40176" w:rsidRPr="000672D7" w:rsidRDefault="00C40176" w:rsidP="00E1475B">
      <w:pPr>
        <w:pStyle w:val="BodyText"/>
        <w:jc w:val="center"/>
        <w:rPr>
          <w:rFonts w:asciiTheme="minorHAnsi" w:hAnsiTheme="minorHAnsi"/>
          <w:b/>
          <w:bCs/>
          <w:sz w:val="24"/>
          <w:szCs w:val="24"/>
        </w:rPr>
      </w:pPr>
      <w:r w:rsidRPr="000672D7">
        <w:rPr>
          <w:rFonts w:asciiTheme="minorHAnsi" w:hAnsiTheme="minorHAnsi"/>
          <w:b/>
          <w:bCs/>
          <w:sz w:val="24"/>
          <w:szCs w:val="24"/>
        </w:rPr>
        <w:t>Commercial Groups</w:t>
      </w:r>
    </w:p>
    <w:tbl>
      <w:tblPr>
        <w:tblW w:w="10260" w:type="dxa"/>
        <w:tblCellSpacing w:w="15" w:type="dxa"/>
        <w:tblInd w:w="-360" w:type="dxa"/>
        <w:tblCellMar>
          <w:top w:w="15" w:type="dxa"/>
          <w:left w:w="15" w:type="dxa"/>
          <w:bottom w:w="15" w:type="dxa"/>
          <w:right w:w="15" w:type="dxa"/>
        </w:tblCellMar>
        <w:tblLook w:val="04A0" w:firstRow="1" w:lastRow="0" w:firstColumn="1" w:lastColumn="0" w:noHBand="0" w:noVBand="1"/>
      </w:tblPr>
      <w:tblGrid>
        <w:gridCol w:w="2250"/>
        <w:gridCol w:w="1260"/>
        <w:gridCol w:w="1260"/>
        <w:gridCol w:w="1350"/>
        <w:gridCol w:w="1363"/>
        <w:gridCol w:w="1427"/>
        <w:gridCol w:w="1350"/>
      </w:tblGrid>
      <w:tr w:rsidR="00C40176" w:rsidRPr="000672D7" w14:paraId="29EAFD96" w14:textId="77777777" w:rsidTr="00C40176">
        <w:trPr>
          <w:tblHeader/>
          <w:tblCellSpacing w:w="15" w:type="dxa"/>
        </w:trPr>
        <w:tc>
          <w:tcPr>
            <w:tcW w:w="2205" w:type="dxa"/>
            <w:vAlign w:val="center"/>
            <w:hideMark/>
          </w:tcPr>
          <w:p w14:paraId="2D06AAFB" w14:textId="77777777" w:rsidR="00C40176" w:rsidRPr="000672D7" w:rsidRDefault="00C40176" w:rsidP="00B13254">
            <w:pPr>
              <w:pStyle w:val="BodyText"/>
              <w:rPr>
                <w:rFonts w:asciiTheme="minorHAnsi" w:hAnsiTheme="minorHAnsi"/>
                <w:sz w:val="24"/>
                <w:szCs w:val="24"/>
              </w:rPr>
            </w:pPr>
            <w:r w:rsidRPr="000672D7">
              <w:rPr>
                <w:rFonts w:asciiTheme="minorHAnsi" w:hAnsiTheme="minorHAnsi"/>
                <w:sz w:val="24"/>
                <w:szCs w:val="24"/>
              </w:rPr>
              <w:t>Category</w:t>
            </w:r>
          </w:p>
        </w:tc>
        <w:tc>
          <w:tcPr>
            <w:tcW w:w="1230" w:type="dxa"/>
            <w:vAlign w:val="center"/>
            <w:hideMark/>
          </w:tcPr>
          <w:p w14:paraId="73DA2F81" w14:textId="77777777" w:rsidR="00C40176" w:rsidRPr="000672D7" w:rsidRDefault="00C40176" w:rsidP="00B13254">
            <w:pPr>
              <w:pStyle w:val="BodyText"/>
              <w:rPr>
                <w:rFonts w:asciiTheme="minorHAnsi" w:hAnsiTheme="minorHAnsi"/>
                <w:sz w:val="24"/>
                <w:szCs w:val="24"/>
              </w:rPr>
            </w:pPr>
            <w:r w:rsidRPr="000672D7">
              <w:rPr>
                <w:rFonts w:asciiTheme="minorHAnsi" w:hAnsiTheme="minorHAnsi"/>
                <w:sz w:val="24"/>
                <w:szCs w:val="24"/>
              </w:rPr>
              <w:t>Unit</w:t>
            </w:r>
          </w:p>
        </w:tc>
        <w:tc>
          <w:tcPr>
            <w:tcW w:w="1230" w:type="dxa"/>
            <w:vAlign w:val="center"/>
            <w:hideMark/>
          </w:tcPr>
          <w:p w14:paraId="145D5D47" w14:textId="77777777" w:rsidR="00C40176" w:rsidRPr="000672D7" w:rsidRDefault="00C40176" w:rsidP="00B13254">
            <w:pPr>
              <w:pStyle w:val="BodyText"/>
              <w:rPr>
                <w:rFonts w:asciiTheme="minorHAnsi" w:hAnsiTheme="minorHAnsi"/>
                <w:sz w:val="24"/>
                <w:szCs w:val="24"/>
              </w:rPr>
            </w:pPr>
            <w:r w:rsidRPr="000672D7">
              <w:rPr>
                <w:rFonts w:asciiTheme="minorHAnsi" w:hAnsiTheme="minorHAnsi"/>
                <w:sz w:val="24"/>
                <w:szCs w:val="24"/>
              </w:rPr>
              <w:t>Jan 1, 2026</w:t>
            </w:r>
          </w:p>
        </w:tc>
        <w:tc>
          <w:tcPr>
            <w:tcW w:w="1320" w:type="dxa"/>
            <w:vAlign w:val="center"/>
            <w:hideMark/>
          </w:tcPr>
          <w:p w14:paraId="5CD0388B" w14:textId="77777777" w:rsidR="00C40176" w:rsidRPr="000672D7" w:rsidRDefault="00C40176" w:rsidP="00B13254">
            <w:pPr>
              <w:pStyle w:val="BodyText"/>
              <w:rPr>
                <w:rFonts w:asciiTheme="minorHAnsi" w:hAnsiTheme="minorHAnsi"/>
                <w:sz w:val="24"/>
                <w:szCs w:val="24"/>
              </w:rPr>
            </w:pPr>
            <w:r w:rsidRPr="000672D7">
              <w:rPr>
                <w:rFonts w:asciiTheme="minorHAnsi" w:hAnsiTheme="minorHAnsi"/>
                <w:sz w:val="24"/>
                <w:szCs w:val="24"/>
              </w:rPr>
              <w:t>July 1, 2027</w:t>
            </w:r>
          </w:p>
        </w:tc>
        <w:tc>
          <w:tcPr>
            <w:tcW w:w="1333" w:type="dxa"/>
            <w:vAlign w:val="center"/>
            <w:hideMark/>
          </w:tcPr>
          <w:p w14:paraId="3B161ED6" w14:textId="77777777" w:rsidR="00C40176" w:rsidRPr="000672D7" w:rsidRDefault="00C40176" w:rsidP="00B13254">
            <w:pPr>
              <w:pStyle w:val="BodyText"/>
              <w:rPr>
                <w:rFonts w:asciiTheme="minorHAnsi" w:hAnsiTheme="minorHAnsi"/>
                <w:sz w:val="24"/>
                <w:szCs w:val="24"/>
              </w:rPr>
            </w:pPr>
            <w:r w:rsidRPr="000672D7">
              <w:rPr>
                <w:rFonts w:asciiTheme="minorHAnsi" w:hAnsiTheme="minorHAnsi"/>
                <w:sz w:val="24"/>
                <w:szCs w:val="24"/>
              </w:rPr>
              <w:t>July 1, 2028</w:t>
            </w:r>
          </w:p>
        </w:tc>
        <w:tc>
          <w:tcPr>
            <w:tcW w:w="1397" w:type="dxa"/>
            <w:vAlign w:val="center"/>
            <w:hideMark/>
          </w:tcPr>
          <w:p w14:paraId="5AA9D8A0" w14:textId="77777777" w:rsidR="00C40176" w:rsidRPr="000672D7" w:rsidRDefault="00C40176" w:rsidP="00B13254">
            <w:pPr>
              <w:pStyle w:val="BodyText"/>
              <w:rPr>
                <w:rFonts w:asciiTheme="minorHAnsi" w:hAnsiTheme="minorHAnsi"/>
                <w:sz w:val="24"/>
                <w:szCs w:val="24"/>
              </w:rPr>
            </w:pPr>
            <w:r w:rsidRPr="000672D7">
              <w:rPr>
                <w:rFonts w:asciiTheme="minorHAnsi" w:hAnsiTheme="minorHAnsi"/>
                <w:sz w:val="24"/>
                <w:szCs w:val="24"/>
              </w:rPr>
              <w:t>July 1, 2029</w:t>
            </w:r>
          </w:p>
        </w:tc>
        <w:tc>
          <w:tcPr>
            <w:tcW w:w="1305" w:type="dxa"/>
            <w:vAlign w:val="center"/>
            <w:hideMark/>
          </w:tcPr>
          <w:p w14:paraId="40E846A5" w14:textId="77777777" w:rsidR="00C40176" w:rsidRPr="000672D7" w:rsidRDefault="00C40176" w:rsidP="00B13254">
            <w:pPr>
              <w:pStyle w:val="BodyText"/>
              <w:rPr>
                <w:rFonts w:asciiTheme="minorHAnsi" w:hAnsiTheme="minorHAnsi"/>
                <w:sz w:val="24"/>
                <w:szCs w:val="24"/>
              </w:rPr>
            </w:pPr>
            <w:r w:rsidRPr="000672D7">
              <w:rPr>
                <w:rFonts w:asciiTheme="minorHAnsi" w:hAnsiTheme="minorHAnsi"/>
                <w:sz w:val="24"/>
                <w:szCs w:val="24"/>
              </w:rPr>
              <w:t>July 1, 2030</w:t>
            </w:r>
          </w:p>
        </w:tc>
      </w:tr>
      <w:tr w:rsidR="00C40176" w:rsidRPr="000672D7" w14:paraId="168D5E88" w14:textId="77777777" w:rsidTr="00C40176">
        <w:trPr>
          <w:tblCellSpacing w:w="15" w:type="dxa"/>
        </w:trPr>
        <w:tc>
          <w:tcPr>
            <w:tcW w:w="2205" w:type="dxa"/>
            <w:vAlign w:val="center"/>
            <w:hideMark/>
          </w:tcPr>
          <w:p w14:paraId="370F2E92" w14:textId="77777777" w:rsidR="00C40176" w:rsidRPr="000672D7" w:rsidRDefault="00C40176" w:rsidP="00B13254">
            <w:pPr>
              <w:pStyle w:val="BodyText"/>
              <w:rPr>
                <w:rFonts w:asciiTheme="minorHAnsi" w:hAnsiTheme="minorHAnsi"/>
                <w:sz w:val="24"/>
                <w:szCs w:val="24"/>
              </w:rPr>
            </w:pPr>
            <w:r w:rsidRPr="000672D7">
              <w:rPr>
                <w:rFonts w:asciiTheme="minorHAnsi" w:hAnsiTheme="minorHAnsi"/>
                <w:sz w:val="24"/>
                <w:szCs w:val="24"/>
              </w:rPr>
              <w:t>Low Strength</w:t>
            </w:r>
          </w:p>
        </w:tc>
        <w:tc>
          <w:tcPr>
            <w:tcW w:w="1230" w:type="dxa"/>
            <w:vAlign w:val="center"/>
            <w:hideMark/>
          </w:tcPr>
          <w:p w14:paraId="5C7A7107" w14:textId="77777777" w:rsidR="00C40176" w:rsidRPr="000672D7" w:rsidRDefault="00C40176" w:rsidP="00B13254">
            <w:pPr>
              <w:pStyle w:val="BodyText"/>
              <w:rPr>
                <w:rFonts w:asciiTheme="minorHAnsi" w:hAnsiTheme="minorHAnsi"/>
                <w:sz w:val="22"/>
                <w:szCs w:val="22"/>
              </w:rPr>
            </w:pPr>
            <w:r w:rsidRPr="000672D7">
              <w:rPr>
                <w:rFonts w:asciiTheme="minorHAnsi" w:hAnsiTheme="minorHAnsi"/>
                <w:sz w:val="22"/>
                <w:szCs w:val="22"/>
              </w:rPr>
              <w:t>business unit</w:t>
            </w:r>
          </w:p>
        </w:tc>
        <w:tc>
          <w:tcPr>
            <w:tcW w:w="1230" w:type="dxa"/>
            <w:vAlign w:val="center"/>
            <w:hideMark/>
          </w:tcPr>
          <w:p w14:paraId="604EF926" w14:textId="77777777" w:rsidR="00C40176" w:rsidRPr="000672D7" w:rsidRDefault="00C40176" w:rsidP="00B13254">
            <w:pPr>
              <w:pStyle w:val="BodyText"/>
              <w:rPr>
                <w:rFonts w:asciiTheme="minorHAnsi" w:hAnsiTheme="minorHAnsi"/>
                <w:sz w:val="24"/>
                <w:szCs w:val="24"/>
              </w:rPr>
            </w:pPr>
            <w:r w:rsidRPr="000672D7">
              <w:rPr>
                <w:rFonts w:asciiTheme="minorHAnsi" w:hAnsiTheme="minorHAnsi"/>
                <w:sz w:val="24"/>
                <w:szCs w:val="24"/>
              </w:rPr>
              <w:t>$54.70</w:t>
            </w:r>
          </w:p>
        </w:tc>
        <w:tc>
          <w:tcPr>
            <w:tcW w:w="1320" w:type="dxa"/>
            <w:vAlign w:val="center"/>
            <w:hideMark/>
          </w:tcPr>
          <w:p w14:paraId="50B91E51" w14:textId="77777777" w:rsidR="00C40176" w:rsidRPr="000672D7" w:rsidRDefault="00C40176" w:rsidP="00B13254">
            <w:pPr>
              <w:pStyle w:val="BodyText"/>
              <w:rPr>
                <w:rFonts w:asciiTheme="minorHAnsi" w:hAnsiTheme="minorHAnsi"/>
                <w:sz w:val="24"/>
                <w:szCs w:val="24"/>
              </w:rPr>
            </w:pPr>
            <w:r w:rsidRPr="000672D7">
              <w:rPr>
                <w:rFonts w:asciiTheme="minorHAnsi" w:hAnsiTheme="minorHAnsi"/>
                <w:sz w:val="24"/>
                <w:szCs w:val="24"/>
              </w:rPr>
              <w:t>$61.26</w:t>
            </w:r>
          </w:p>
        </w:tc>
        <w:tc>
          <w:tcPr>
            <w:tcW w:w="1333" w:type="dxa"/>
            <w:vAlign w:val="center"/>
            <w:hideMark/>
          </w:tcPr>
          <w:p w14:paraId="68CCD866" w14:textId="77777777" w:rsidR="00C40176" w:rsidRPr="000672D7" w:rsidRDefault="00C40176" w:rsidP="00B13254">
            <w:pPr>
              <w:pStyle w:val="BodyText"/>
              <w:rPr>
                <w:rFonts w:asciiTheme="minorHAnsi" w:hAnsiTheme="minorHAnsi"/>
                <w:sz w:val="24"/>
                <w:szCs w:val="24"/>
              </w:rPr>
            </w:pPr>
            <w:r w:rsidRPr="000672D7">
              <w:rPr>
                <w:rFonts w:asciiTheme="minorHAnsi" w:hAnsiTheme="minorHAnsi"/>
                <w:sz w:val="24"/>
                <w:szCs w:val="24"/>
              </w:rPr>
              <w:t>$68.62</w:t>
            </w:r>
          </w:p>
        </w:tc>
        <w:tc>
          <w:tcPr>
            <w:tcW w:w="1397" w:type="dxa"/>
            <w:vAlign w:val="center"/>
            <w:hideMark/>
          </w:tcPr>
          <w:p w14:paraId="1596AC21" w14:textId="77777777" w:rsidR="00C40176" w:rsidRPr="000672D7" w:rsidRDefault="00C40176" w:rsidP="00B13254">
            <w:pPr>
              <w:pStyle w:val="BodyText"/>
              <w:rPr>
                <w:rFonts w:asciiTheme="minorHAnsi" w:hAnsiTheme="minorHAnsi"/>
                <w:sz w:val="24"/>
                <w:szCs w:val="24"/>
              </w:rPr>
            </w:pPr>
            <w:r w:rsidRPr="000672D7">
              <w:rPr>
                <w:rFonts w:asciiTheme="minorHAnsi" w:hAnsiTheme="minorHAnsi"/>
                <w:sz w:val="24"/>
                <w:szCs w:val="24"/>
              </w:rPr>
              <w:t>$76.85</w:t>
            </w:r>
          </w:p>
        </w:tc>
        <w:tc>
          <w:tcPr>
            <w:tcW w:w="1305" w:type="dxa"/>
            <w:vAlign w:val="center"/>
            <w:hideMark/>
          </w:tcPr>
          <w:p w14:paraId="5056371E" w14:textId="77777777" w:rsidR="00C40176" w:rsidRPr="000672D7" w:rsidRDefault="00C40176" w:rsidP="00B13254">
            <w:pPr>
              <w:pStyle w:val="BodyText"/>
              <w:rPr>
                <w:rFonts w:asciiTheme="minorHAnsi" w:hAnsiTheme="minorHAnsi"/>
                <w:sz w:val="24"/>
                <w:szCs w:val="24"/>
              </w:rPr>
            </w:pPr>
            <w:r w:rsidRPr="000672D7">
              <w:rPr>
                <w:rFonts w:asciiTheme="minorHAnsi" w:hAnsiTheme="minorHAnsi"/>
                <w:sz w:val="24"/>
                <w:szCs w:val="24"/>
              </w:rPr>
              <w:t>$86.07</w:t>
            </w:r>
          </w:p>
        </w:tc>
      </w:tr>
      <w:tr w:rsidR="00C40176" w:rsidRPr="000672D7" w14:paraId="12D67961" w14:textId="77777777" w:rsidTr="00C40176">
        <w:trPr>
          <w:tblCellSpacing w:w="15" w:type="dxa"/>
        </w:trPr>
        <w:tc>
          <w:tcPr>
            <w:tcW w:w="2205" w:type="dxa"/>
            <w:vAlign w:val="center"/>
            <w:hideMark/>
          </w:tcPr>
          <w:p w14:paraId="487038B5" w14:textId="77777777" w:rsidR="00C40176" w:rsidRPr="000672D7" w:rsidRDefault="00C40176" w:rsidP="00B13254">
            <w:pPr>
              <w:pStyle w:val="BodyText"/>
              <w:rPr>
                <w:rFonts w:asciiTheme="minorHAnsi" w:hAnsiTheme="minorHAnsi"/>
                <w:sz w:val="24"/>
                <w:szCs w:val="24"/>
              </w:rPr>
            </w:pPr>
            <w:r w:rsidRPr="000672D7">
              <w:rPr>
                <w:rFonts w:asciiTheme="minorHAnsi" w:hAnsiTheme="minorHAnsi"/>
                <w:sz w:val="24"/>
                <w:szCs w:val="24"/>
              </w:rPr>
              <w:t>Medium Strength</w:t>
            </w:r>
          </w:p>
        </w:tc>
        <w:tc>
          <w:tcPr>
            <w:tcW w:w="1230" w:type="dxa"/>
            <w:vAlign w:val="center"/>
            <w:hideMark/>
          </w:tcPr>
          <w:p w14:paraId="143C6587" w14:textId="77777777" w:rsidR="00C40176" w:rsidRPr="000672D7" w:rsidRDefault="00C40176" w:rsidP="00B13254">
            <w:pPr>
              <w:pStyle w:val="BodyText"/>
              <w:rPr>
                <w:rFonts w:asciiTheme="minorHAnsi" w:hAnsiTheme="minorHAnsi"/>
                <w:sz w:val="22"/>
                <w:szCs w:val="22"/>
              </w:rPr>
            </w:pPr>
            <w:r w:rsidRPr="000672D7">
              <w:rPr>
                <w:rFonts w:asciiTheme="minorHAnsi" w:hAnsiTheme="minorHAnsi"/>
                <w:sz w:val="22"/>
                <w:szCs w:val="22"/>
              </w:rPr>
              <w:t>business unit</w:t>
            </w:r>
          </w:p>
        </w:tc>
        <w:tc>
          <w:tcPr>
            <w:tcW w:w="1230" w:type="dxa"/>
            <w:vAlign w:val="center"/>
            <w:hideMark/>
          </w:tcPr>
          <w:p w14:paraId="6C0FA37D" w14:textId="77777777" w:rsidR="00C40176" w:rsidRPr="000672D7" w:rsidRDefault="00C40176" w:rsidP="00B13254">
            <w:pPr>
              <w:pStyle w:val="BodyText"/>
              <w:rPr>
                <w:rFonts w:asciiTheme="minorHAnsi" w:hAnsiTheme="minorHAnsi"/>
                <w:sz w:val="24"/>
                <w:szCs w:val="24"/>
              </w:rPr>
            </w:pPr>
            <w:r w:rsidRPr="000672D7">
              <w:rPr>
                <w:rFonts w:asciiTheme="minorHAnsi" w:hAnsiTheme="minorHAnsi"/>
                <w:sz w:val="24"/>
                <w:szCs w:val="24"/>
              </w:rPr>
              <w:t>$64.05</w:t>
            </w:r>
          </w:p>
        </w:tc>
        <w:tc>
          <w:tcPr>
            <w:tcW w:w="1320" w:type="dxa"/>
            <w:vAlign w:val="center"/>
            <w:hideMark/>
          </w:tcPr>
          <w:p w14:paraId="2EFFDC23" w14:textId="77777777" w:rsidR="00C40176" w:rsidRPr="000672D7" w:rsidRDefault="00C40176" w:rsidP="00B13254">
            <w:pPr>
              <w:pStyle w:val="BodyText"/>
              <w:rPr>
                <w:rFonts w:asciiTheme="minorHAnsi" w:hAnsiTheme="minorHAnsi"/>
                <w:sz w:val="24"/>
                <w:szCs w:val="24"/>
              </w:rPr>
            </w:pPr>
            <w:r w:rsidRPr="000672D7">
              <w:rPr>
                <w:rFonts w:asciiTheme="minorHAnsi" w:hAnsiTheme="minorHAnsi"/>
                <w:sz w:val="24"/>
                <w:szCs w:val="24"/>
              </w:rPr>
              <w:t>$71.74</w:t>
            </w:r>
          </w:p>
        </w:tc>
        <w:tc>
          <w:tcPr>
            <w:tcW w:w="1333" w:type="dxa"/>
            <w:vAlign w:val="center"/>
            <w:hideMark/>
          </w:tcPr>
          <w:p w14:paraId="28ACE995" w14:textId="77777777" w:rsidR="00C40176" w:rsidRPr="000672D7" w:rsidRDefault="00C40176" w:rsidP="00B13254">
            <w:pPr>
              <w:pStyle w:val="BodyText"/>
              <w:rPr>
                <w:rFonts w:asciiTheme="minorHAnsi" w:hAnsiTheme="minorHAnsi"/>
                <w:sz w:val="24"/>
                <w:szCs w:val="24"/>
              </w:rPr>
            </w:pPr>
            <w:r w:rsidRPr="000672D7">
              <w:rPr>
                <w:rFonts w:asciiTheme="minorHAnsi" w:hAnsiTheme="minorHAnsi"/>
                <w:sz w:val="24"/>
                <w:szCs w:val="24"/>
              </w:rPr>
              <w:t>$80.35</w:t>
            </w:r>
          </w:p>
        </w:tc>
        <w:tc>
          <w:tcPr>
            <w:tcW w:w="1397" w:type="dxa"/>
            <w:vAlign w:val="center"/>
            <w:hideMark/>
          </w:tcPr>
          <w:p w14:paraId="0C89BBD2" w14:textId="77777777" w:rsidR="00C40176" w:rsidRPr="000672D7" w:rsidRDefault="00C40176" w:rsidP="00B13254">
            <w:pPr>
              <w:pStyle w:val="BodyText"/>
              <w:rPr>
                <w:rFonts w:asciiTheme="minorHAnsi" w:hAnsiTheme="minorHAnsi"/>
                <w:sz w:val="24"/>
                <w:szCs w:val="24"/>
              </w:rPr>
            </w:pPr>
            <w:r w:rsidRPr="000672D7">
              <w:rPr>
                <w:rFonts w:asciiTheme="minorHAnsi" w:hAnsiTheme="minorHAnsi"/>
                <w:sz w:val="24"/>
                <w:szCs w:val="24"/>
              </w:rPr>
              <w:t>$89.99</w:t>
            </w:r>
          </w:p>
        </w:tc>
        <w:tc>
          <w:tcPr>
            <w:tcW w:w="1305" w:type="dxa"/>
            <w:vAlign w:val="center"/>
            <w:hideMark/>
          </w:tcPr>
          <w:p w14:paraId="1AF70DBB" w14:textId="77777777" w:rsidR="00C40176" w:rsidRPr="000672D7" w:rsidRDefault="00C40176" w:rsidP="00B13254">
            <w:pPr>
              <w:pStyle w:val="BodyText"/>
              <w:rPr>
                <w:rFonts w:asciiTheme="minorHAnsi" w:hAnsiTheme="minorHAnsi"/>
                <w:sz w:val="24"/>
                <w:szCs w:val="24"/>
              </w:rPr>
            </w:pPr>
            <w:r w:rsidRPr="000672D7">
              <w:rPr>
                <w:rFonts w:asciiTheme="minorHAnsi" w:hAnsiTheme="minorHAnsi"/>
                <w:sz w:val="24"/>
                <w:szCs w:val="24"/>
              </w:rPr>
              <w:t>$100.79</w:t>
            </w:r>
          </w:p>
        </w:tc>
      </w:tr>
      <w:tr w:rsidR="00C40176" w:rsidRPr="000672D7" w14:paraId="1552A308" w14:textId="77777777" w:rsidTr="00C40176">
        <w:trPr>
          <w:tblCellSpacing w:w="15" w:type="dxa"/>
        </w:trPr>
        <w:tc>
          <w:tcPr>
            <w:tcW w:w="2205" w:type="dxa"/>
            <w:vAlign w:val="center"/>
            <w:hideMark/>
          </w:tcPr>
          <w:p w14:paraId="48FB4BCA" w14:textId="77777777" w:rsidR="00C40176" w:rsidRPr="000672D7" w:rsidRDefault="00C40176" w:rsidP="00B13254">
            <w:pPr>
              <w:pStyle w:val="BodyText"/>
              <w:rPr>
                <w:rFonts w:asciiTheme="minorHAnsi" w:hAnsiTheme="minorHAnsi"/>
                <w:sz w:val="24"/>
                <w:szCs w:val="24"/>
              </w:rPr>
            </w:pPr>
            <w:r w:rsidRPr="000672D7">
              <w:rPr>
                <w:rFonts w:asciiTheme="minorHAnsi" w:hAnsiTheme="minorHAnsi"/>
                <w:sz w:val="24"/>
                <w:szCs w:val="24"/>
              </w:rPr>
              <w:t>Medium/High Strength</w:t>
            </w:r>
          </w:p>
        </w:tc>
        <w:tc>
          <w:tcPr>
            <w:tcW w:w="1230" w:type="dxa"/>
            <w:vAlign w:val="center"/>
            <w:hideMark/>
          </w:tcPr>
          <w:p w14:paraId="6B975E25" w14:textId="77777777" w:rsidR="00C40176" w:rsidRPr="000672D7" w:rsidRDefault="00C40176" w:rsidP="00B13254">
            <w:pPr>
              <w:pStyle w:val="BodyText"/>
              <w:rPr>
                <w:rFonts w:asciiTheme="minorHAnsi" w:hAnsiTheme="minorHAnsi"/>
                <w:sz w:val="22"/>
                <w:szCs w:val="22"/>
              </w:rPr>
            </w:pPr>
            <w:r w:rsidRPr="000672D7">
              <w:rPr>
                <w:rFonts w:asciiTheme="minorHAnsi" w:hAnsiTheme="minorHAnsi"/>
                <w:sz w:val="22"/>
                <w:szCs w:val="22"/>
              </w:rPr>
              <w:t>business unit</w:t>
            </w:r>
          </w:p>
        </w:tc>
        <w:tc>
          <w:tcPr>
            <w:tcW w:w="1230" w:type="dxa"/>
            <w:vAlign w:val="center"/>
            <w:hideMark/>
          </w:tcPr>
          <w:p w14:paraId="2903A283" w14:textId="77777777" w:rsidR="00C40176" w:rsidRPr="000672D7" w:rsidRDefault="00C40176" w:rsidP="00B13254">
            <w:pPr>
              <w:pStyle w:val="BodyText"/>
              <w:rPr>
                <w:rFonts w:asciiTheme="minorHAnsi" w:hAnsiTheme="minorHAnsi"/>
                <w:sz w:val="24"/>
                <w:szCs w:val="24"/>
              </w:rPr>
            </w:pPr>
            <w:r w:rsidRPr="000672D7">
              <w:rPr>
                <w:rFonts w:asciiTheme="minorHAnsi" w:hAnsiTheme="minorHAnsi"/>
                <w:sz w:val="24"/>
                <w:szCs w:val="24"/>
              </w:rPr>
              <w:t>$71.73</w:t>
            </w:r>
          </w:p>
        </w:tc>
        <w:tc>
          <w:tcPr>
            <w:tcW w:w="1320" w:type="dxa"/>
            <w:vAlign w:val="center"/>
            <w:hideMark/>
          </w:tcPr>
          <w:p w14:paraId="0B7E32D1" w14:textId="77777777" w:rsidR="00C40176" w:rsidRPr="000672D7" w:rsidRDefault="00C40176" w:rsidP="00B13254">
            <w:pPr>
              <w:pStyle w:val="BodyText"/>
              <w:rPr>
                <w:rFonts w:asciiTheme="minorHAnsi" w:hAnsiTheme="minorHAnsi"/>
                <w:sz w:val="24"/>
                <w:szCs w:val="24"/>
              </w:rPr>
            </w:pPr>
            <w:r w:rsidRPr="000672D7">
              <w:rPr>
                <w:rFonts w:asciiTheme="minorHAnsi" w:hAnsiTheme="minorHAnsi"/>
                <w:sz w:val="24"/>
                <w:szCs w:val="24"/>
              </w:rPr>
              <w:t>$80.34</w:t>
            </w:r>
          </w:p>
        </w:tc>
        <w:tc>
          <w:tcPr>
            <w:tcW w:w="1333" w:type="dxa"/>
            <w:vAlign w:val="center"/>
            <w:hideMark/>
          </w:tcPr>
          <w:p w14:paraId="03702A63" w14:textId="77777777" w:rsidR="00C40176" w:rsidRPr="000672D7" w:rsidRDefault="00C40176" w:rsidP="00B13254">
            <w:pPr>
              <w:pStyle w:val="BodyText"/>
              <w:rPr>
                <w:rFonts w:asciiTheme="minorHAnsi" w:hAnsiTheme="minorHAnsi"/>
                <w:sz w:val="24"/>
                <w:szCs w:val="24"/>
              </w:rPr>
            </w:pPr>
            <w:r w:rsidRPr="000672D7">
              <w:rPr>
                <w:rFonts w:asciiTheme="minorHAnsi" w:hAnsiTheme="minorHAnsi"/>
                <w:sz w:val="24"/>
                <w:szCs w:val="24"/>
              </w:rPr>
              <w:t>$89.98</w:t>
            </w:r>
          </w:p>
        </w:tc>
        <w:tc>
          <w:tcPr>
            <w:tcW w:w="1397" w:type="dxa"/>
            <w:vAlign w:val="center"/>
            <w:hideMark/>
          </w:tcPr>
          <w:p w14:paraId="0116BCC2" w14:textId="77777777" w:rsidR="00C40176" w:rsidRPr="000672D7" w:rsidRDefault="00C40176" w:rsidP="00B13254">
            <w:pPr>
              <w:pStyle w:val="BodyText"/>
              <w:rPr>
                <w:rFonts w:asciiTheme="minorHAnsi" w:hAnsiTheme="minorHAnsi"/>
                <w:sz w:val="24"/>
                <w:szCs w:val="24"/>
              </w:rPr>
            </w:pPr>
            <w:r w:rsidRPr="000672D7">
              <w:rPr>
                <w:rFonts w:asciiTheme="minorHAnsi" w:hAnsiTheme="minorHAnsi"/>
                <w:sz w:val="24"/>
                <w:szCs w:val="24"/>
              </w:rPr>
              <w:t>$100.78</w:t>
            </w:r>
          </w:p>
        </w:tc>
        <w:tc>
          <w:tcPr>
            <w:tcW w:w="1305" w:type="dxa"/>
            <w:vAlign w:val="center"/>
            <w:hideMark/>
          </w:tcPr>
          <w:p w14:paraId="60541912" w14:textId="77777777" w:rsidR="00C40176" w:rsidRPr="000672D7" w:rsidRDefault="00C40176" w:rsidP="00B13254">
            <w:pPr>
              <w:pStyle w:val="BodyText"/>
              <w:rPr>
                <w:rFonts w:asciiTheme="minorHAnsi" w:hAnsiTheme="minorHAnsi"/>
                <w:sz w:val="24"/>
                <w:szCs w:val="24"/>
              </w:rPr>
            </w:pPr>
            <w:r w:rsidRPr="000672D7">
              <w:rPr>
                <w:rFonts w:asciiTheme="minorHAnsi" w:hAnsiTheme="minorHAnsi"/>
                <w:sz w:val="24"/>
                <w:szCs w:val="24"/>
              </w:rPr>
              <w:t>$112.87</w:t>
            </w:r>
          </w:p>
        </w:tc>
      </w:tr>
      <w:tr w:rsidR="00C40176" w:rsidRPr="000672D7" w14:paraId="5D3F3337" w14:textId="77777777" w:rsidTr="00C40176">
        <w:trPr>
          <w:tblCellSpacing w:w="15" w:type="dxa"/>
        </w:trPr>
        <w:tc>
          <w:tcPr>
            <w:tcW w:w="2205" w:type="dxa"/>
            <w:vAlign w:val="center"/>
            <w:hideMark/>
          </w:tcPr>
          <w:p w14:paraId="1E452088" w14:textId="77777777" w:rsidR="00C40176" w:rsidRPr="000672D7" w:rsidRDefault="00C40176" w:rsidP="00B13254">
            <w:pPr>
              <w:pStyle w:val="BodyText"/>
              <w:rPr>
                <w:rFonts w:asciiTheme="minorHAnsi" w:hAnsiTheme="minorHAnsi"/>
                <w:sz w:val="24"/>
                <w:szCs w:val="24"/>
              </w:rPr>
            </w:pPr>
            <w:r w:rsidRPr="000672D7">
              <w:rPr>
                <w:rFonts w:asciiTheme="minorHAnsi" w:hAnsiTheme="minorHAnsi"/>
                <w:sz w:val="24"/>
                <w:szCs w:val="24"/>
              </w:rPr>
              <w:t>High Strength</w:t>
            </w:r>
          </w:p>
        </w:tc>
        <w:tc>
          <w:tcPr>
            <w:tcW w:w="1230" w:type="dxa"/>
            <w:vAlign w:val="center"/>
            <w:hideMark/>
          </w:tcPr>
          <w:p w14:paraId="5CFDC4D7" w14:textId="77777777" w:rsidR="00C40176" w:rsidRPr="000672D7" w:rsidRDefault="00C40176" w:rsidP="00B13254">
            <w:pPr>
              <w:pStyle w:val="BodyText"/>
              <w:rPr>
                <w:rFonts w:asciiTheme="minorHAnsi" w:hAnsiTheme="minorHAnsi"/>
                <w:sz w:val="22"/>
                <w:szCs w:val="22"/>
              </w:rPr>
            </w:pPr>
            <w:r w:rsidRPr="000672D7">
              <w:rPr>
                <w:rFonts w:asciiTheme="minorHAnsi" w:hAnsiTheme="minorHAnsi"/>
                <w:sz w:val="22"/>
                <w:szCs w:val="22"/>
              </w:rPr>
              <w:t>business unit</w:t>
            </w:r>
          </w:p>
        </w:tc>
        <w:tc>
          <w:tcPr>
            <w:tcW w:w="1230" w:type="dxa"/>
            <w:vAlign w:val="center"/>
            <w:hideMark/>
          </w:tcPr>
          <w:p w14:paraId="0E75583B" w14:textId="77777777" w:rsidR="00C40176" w:rsidRPr="000672D7" w:rsidRDefault="00C40176" w:rsidP="00B13254">
            <w:pPr>
              <w:pStyle w:val="BodyText"/>
              <w:rPr>
                <w:rFonts w:asciiTheme="minorHAnsi" w:hAnsiTheme="minorHAnsi"/>
                <w:sz w:val="24"/>
                <w:szCs w:val="24"/>
              </w:rPr>
            </w:pPr>
            <w:r w:rsidRPr="000672D7">
              <w:rPr>
                <w:rFonts w:asciiTheme="minorHAnsi" w:hAnsiTheme="minorHAnsi"/>
                <w:sz w:val="24"/>
                <w:szCs w:val="24"/>
              </w:rPr>
              <w:t>$89.14</w:t>
            </w:r>
          </w:p>
        </w:tc>
        <w:tc>
          <w:tcPr>
            <w:tcW w:w="1320" w:type="dxa"/>
            <w:vAlign w:val="center"/>
            <w:hideMark/>
          </w:tcPr>
          <w:p w14:paraId="46C68708" w14:textId="77777777" w:rsidR="00C40176" w:rsidRPr="000672D7" w:rsidRDefault="00C40176" w:rsidP="00B13254">
            <w:pPr>
              <w:pStyle w:val="BodyText"/>
              <w:rPr>
                <w:rFonts w:asciiTheme="minorHAnsi" w:hAnsiTheme="minorHAnsi"/>
                <w:sz w:val="24"/>
                <w:szCs w:val="24"/>
              </w:rPr>
            </w:pPr>
            <w:r w:rsidRPr="000672D7">
              <w:rPr>
                <w:rFonts w:asciiTheme="minorHAnsi" w:hAnsiTheme="minorHAnsi"/>
                <w:sz w:val="24"/>
                <w:szCs w:val="24"/>
              </w:rPr>
              <w:t>$99.84</w:t>
            </w:r>
          </w:p>
        </w:tc>
        <w:tc>
          <w:tcPr>
            <w:tcW w:w="1333" w:type="dxa"/>
            <w:vAlign w:val="center"/>
            <w:hideMark/>
          </w:tcPr>
          <w:p w14:paraId="49370F34" w14:textId="77777777" w:rsidR="00C40176" w:rsidRPr="000672D7" w:rsidRDefault="00C40176" w:rsidP="00B13254">
            <w:pPr>
              <w:pStyle w:val="BodyText"/>
              <w:rPr>
                <w:rFonts w:asciiTheme="minorHAnsi" w:hAnsiTheme="minorHAnsi"/>
                <w:sz w:val="24"/>
                <w:szCs w:val="24"/>
              </w:rPr>
            </w:pPr>
            <w:r w:rsidRPr="000672D7">
              <w:rPr>
                <w:rFonts w:asciiTheme="minorHAnsi" w:hAnsiTheme="minorHAnsi"/>
                <w:sz w:val="24"/>
                <w:szCs w:val="24"/>
              </w:rPr>
              <w:t>$111.82</w:t>
            </w:r>
          </w:p>
        </w:tc>
        <w:tc>
          <w:tcPr>
            <w:tcW w:w="1397" w:type="dxa"/>
            <w:vAlign w:val="center"/>
            <w:hideMark/>
          </w:tcPr>
          <w:p w14:paraId="604F1ACD" w14:textId="77777777" w:rsidR="00C40176" w:rsidRPr="000672D7" w:rsidRDefault="00C40176" w:rsidP="00B13254">
            <w:pPr>
              <w:pStyle w:val="BodyText"/>
              <w:rPr>
                <w:rFonts w:asciiTheme="minorHAnsi" w:hAnsiTheme="minorHAnsi"/>
                <w:sz w:val="24"/>
                <w:szCs w:val="24"/>
              </w:rPr>
            </w:pPr>
            <w:r w:rsidRPr="000672D7">
              <w:rPr>
                <w:rFonts w:asciiTheme="minorHAnsi" w:hAnsiTheme="minorHAnsi"/>
                <w:sz w:val="24"/>
                <w:szCs w:val="24"/>
              </w:rPr>
              <w:t>$125.24</w:t>
            </w:r>
          </w:p>
        </w:tc>
        <w:tc>
          <w:tcPr>
            <w:tcW w:w="1305" w:type="dxa"/>
            <w:vAlign w:val="center"/>
            <w:hideMark/>
          </w:tcPr>
          <w:p w14:paraId="55C40D4D" w14:textId="77777777" w:rsidR="00C40176" w:rsidRPr="000672D7" w:rsidRDefault="00C40176" w:rsidP="00B13254">
            <w:pPr>
              <w:pStyle w:val="BodyText"/>
              <w:rPr>
                <w:rFonts w:asciiTheme="minorHAnsi" w:hAnsiTheme="minorHAnsi"/>
                <w:sz w:val="24"/>
                <w:szCs w:val="24"/>
              </w:rPr>
            </w:pPr>
            <w:r w:rsidRPr="000672D7">
              <w:rPr>
                <w:rFonts w:asciiTheme="minorHAnsi" w:hAnsiTheme="minorHAnsi"/>
                <w:sz w:val="24"/>
                <w:szCs w:val="24"/>
              </w:rPr>
              <w:t>$140.27</w:t>
            </w:r>
          </w:p>
        </w:tc>
      </w:tr>
    </w:tbl>
    <w:p w14:paraId="5C9CA291" w14:textId="6D51A08A" w:rsidR="00C40176" w:rsidRPr="00441207" w:rsidRDefault="00441207" w:rsidP="00C40176">
      <w:pPr>
        <w:pStyle w:val="BodyText"/>
        <w:rPr>
          <w:rFonts w:asciiTheme="minorHAnsi" w:hAnsiTheme="minorHAnsi"/>
          <w:b/>
          <w:bCs/>
          <w:sz w:val="24"/>
          <w:szCs w:val="24"/>
        </w:rPr>
      </w:pPr>
      <w:r w:rsidRPr="00441207">
        <w:rPr>
          <w:rFonts w:asciiTheme="minorHAnsi" w:hAnsiTheme="minorHAnsi"/>
          <w:b/>
          <w:bCs/>
          <w:sz w:val="24"/>
          <w:szCs w:val="24"/>
        </w:rPr>
        <w:t>**Your total monthly sewer service charge is the sum of the Base Charge and the applicable Unit Charge(s).**</w:t>
      </w:r>
    </w:p>
    <w:p w14:paraId="6D2CF8C0" w14:textId="77777777" w:rsidR="00441207" w:rsidRDefault="00441207" w:rsidP="00C40176"/>
    <w:p w14:paraId="074E5309" w14:textId="6F88C651" w:rsidR="00C40176" w:rsidRDefault="00C40176" w:rsidP="00C40176">
      <w:r w:rsidRPr="00C40176">
        <w:t>If you have any questions regarding this notice or your sewer service rates, please contact the Murphys Sanitary District office at (209) 728-3094.</w:t>
      </w:r>
    </w:p>
    <w:p w14:paraId="635348C2" w14:textId="77777777" w:rsidR="00C40176" w:rsidRPr="00C40176" w:rsidRDefault="00C40176" w:rsidP="00C40176"/>
    <w:p w14:paraId="02ECB151" w14:textId="77777777" w:rsidR="00C40176" w:rsidRPr="00C40176" w:rsidRDefault="00C40176" w:rsidP="00C40176">
      <w:r w:rsidRPr="00C40176">
        <w:t>Sincerely,</w:t>
      </w:r>
    </w:p>
    <w:p w14:paraId="4D5B179D" w14:textId="77777777" w:rsidR="00C40176" w:rsidRPr="00C40176" w:rsidRDefault="00C40176" w:rsidP="00C40176">
      <w:r w:rsidRPr="00C40176">
        <w:rPr>
          <w:b/>
          <w:bCs/>
        </w:rPr>
        <w:t>Murphys Sanitary District</w:t>
      </w:r>
      <w:r w:rsidRPr="00C40176">
        <w:br/>
      </w:r>
      <w:r w:rsidRPr="00C40176">
        <w:rPr>
          <w:b/>
          <w:bCs/>
        </w:rPr>
        <w:t>Board of Directors</w:t>
      </w:r>
    </w:p>
    <w:p w14:paraId="3AA5BBCD" w14:textId="77777777" w:rsidR="00C40176" w:rsidRPr="00C40176" w:rsidRDefault="00C40176" w:rsidP="00C40176">
      <w:pPr>
        <w:rPr>
          <w:vanish/>
        </w:rPr>
      </w:pPr>
      <w:r w:rsidRPr="00C40176">
        <w:rPr>
          <w:vanish/>
        </w:rPr>
        <w:t>Top of Form</w:t>
      </w:r>
    </w:p>
    <w:p w14:paraId="0322892F" w14:textId="77777777" w:rsidR="00C40176" w:rsidRPr="00C40176" w:rsidRDefault="00C40176" w:rsidP="00C40176">
      <w:pPr>
        <w:rPr>
          <w:vanish/>
        </w:rPr>
      </w:pPr>
      <w:r w:rsidRPr="00C40176">
        <w:rPr>
          <w:vanish/>
        </w:rPr>
        <w:t>Bottom of Form</w:t>
      </w:r>
    </w:p>
    <w:p w14:paraId="05E4E451" w14:textId="77777777" w:rsidR="00980725" w:rsidRDefault="00980725"/>
    <w:sectPr w:rsidR="0098072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8E5AC" w14:textId="77777777" w:rsidR="00BA4EAF" w:rsidRDefault="00BA4EAF" w:rsidP="00774C27">
      <w:pPr>
        <w:spacing w:after="0" w:line="240" w:lineRule="auto"/>
      </w:pPr>
      <w:r>
        <w:separator/>
      </w:r>
    </w:p>
  </w:endnote>
  <w:endnote w:type="continuationSeparator" w:id="0">
    <w:p w14:paraId="1FD53E58" w14:textId="77777777" w:rsidR="00BA4EAF" w:rsidRDefault="00BA4EAF" w:rsidP="00774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D208D" w14:textId="77777777" w:rsidR="00BC69B0" w:rsidRDefault="00BC69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B6359" w14:textId="77777777" w:rsidR="00774C27" w:rsidRPr="00BC69B0" w:rsidRDefault="00774C27" w:rsidP="00774C27">
    <w:pPr>
      <w:pStyle w:val="Footer"/>
      <w:jc w:val="center"/>
      <w:rPr>
        <w:b/>
        <w:bCs/>
        <w:i/>
        <w:iCs/>
        <w:sz w:val="20"/>
        <w:szCs w:val="20"/>
      </w:rPr>
    </w:pPr>
    <w:r w:rsidRPr="00BC69B0">
      <w:rPr>
        <w:b/>
        <w:bCs/>
        <w:i/>
        <w:iCs/>
        <w:sz w:val="20"/>
        <w:szCs w:val="20"/>
      </w:rPr>
      <w:t>BOARD OF DIRECTORS</w:t>
    </w:r>
  </w:p>
  <w:p w14:paraId="10FF1079" w14:textId="77777777" w:rsidR="00774C27" w:rsidRPr="00BC69B0" w:rsidRDefault="00774C27" w:rsidP="00774C27">
    <w:pPr>
      <w:pStyle w:val="Footer"/>
      <w:jc w:val="center"/>
      <w:rPr>
        <w:b/>
        <w:bCs/>
        <w:i/>
        <w:iCs/>
        <w:sz w:val="20"/>
        <w:szCs w:val="20"/>
      </w:rPr>
    </w:pPr>
    <w:r w:rsidRPr="00BC69B0">
      <w:rPr>
        <w:b/>
        <w:bCs/>
        <w:i/>
        <w:iCs/>
        <w:sz w:val="20"/>
        <w:szCs w:val="20"/>
      </w:rPr>
      <w:t>Paige McMath-Jue, President || Marty Mellera, Vice President || Steve Gonzales, Secretary</w:t>
    </w:r>
  </w:p>
  <w:p w14:paraId="24279BD8" w14:textId="77777777" w:rsidR="00774C27" w:rsidRPr="00BC69B0" w:rsidRDefault="00774C27" w:rsidP="00774C27">
    <w:pPr>
      <w:pStyle w:val="Footer"/>
      <w:jc w:val="center"/>
      <w:rPr>
        <w:b/>
        <w:bCs/>
        <w:i/>
        <w:iCs/>
        <w:sz w:val="20"/>
        <w:szCs w:val="20"/>
      </w:rPr>
    </w:pPr>
    <w:r w:rsidRPr="00BC69B0">
      <w:rPr>
        <w:b/>
        <w:bCs/>
        <w:i/>
        <w:iCs/>
        <w:sz w:val="20"/>
        <w:szCs w:val="20"/>
      </w:rPr>
      <w:t>Joseph Fontana, Treasurer || Vacancy Open</w:t>
    </w:r>
    <w:r w:rsidRPr="00BC69B0">
      <w:rPr>
        <w:b/>
        <w:bCs/>
        <w:i/>
        <w:iCs/>
        <w:sz w:val="20"/>
        <w:szCs w:val="20"/>
      </w:rPr>
      <w:tab/>
    </w:r>
  </w:p>
  <w:p w14:paraId="1E92758D" w14:textId="77777777" w:rsidR="00774C27" w:rsidRPr="00BC69B0" w:rsidRDefault="00774C27" w:rsidP="00774C27">
    <w:pPr>
      <w:pStyle w:val="Footer"/>
      <w:jc w:val="center"/>
      <w:rPr>
        <w:b/>
        <w:bCs/>
        <w:i/>
        <w:iCs/>
        <w:sz w:val="20"/>
        <w:szCs w:val="20"/>
      </w:rPr>
    </w:pPr>
    <w:hyperlink r:id="rId1" w:history="1">
      <w:r w:rsidRPr="00BC69B0">
        <w:rPr>
          <w:rStyle w:val="Hyperlink"/>
          <w:b/>
          <w:bCs/>
          <w:i/>
          <w:iCs/>
          <w:sz w:val="20"/>
          <w:szCs w:val="20"/>
        </w:rPr>
        <w:t>www.murphyssd.org</w:t>
      </w:r>
    </w:hyperlink>
  </w:p>
  <w:p w14:paraId="141DAFA7" w14:textId="77777777" w:rsidR="00774C27" w:rsidRDefault="00774C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970A" w14:textId="77777777" w:rsidR="00BC69B0" w:rsidRDefault="00BC6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118CE" w14:textId="77777777" w:rsidR="00BA4EAF" w:rsidRDefault="00BA4EAF" w:rsidP="00774C27">
      <w:pPr>
        <w:spacing w:after="0" w:line="240" w:lineRule="auto"/>
      </w:pPr>
      <w:r>
        <w:separator/>
      </w:r>
    </w:p>
  </w:footnote>
  <w:footnote w:type="continuationSeparator" w:id="0">
    <w:p w14:paraId="30CAD220" w14:textId="77777777" w:rsidR="00BA4EAF" w:rsidRDefault="00BA4EAF" w:rsidP="00774C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8671" w14:textId="0DC41432" w:rsidR="00774C27" w:rsidRDefault="00000000">
    <w:pPr>
      <w:pStyle w:val="Header"/>
    </w:pPr>
    <w:r>
      <w:rPr>
        <w:noProof/>
      </w:rPr>
      <w:pict w14:anchorId="364788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628188" o:spid="_x0000_s1026" type="#_x0000_t75" style="position:absolute;margin-left:0;margin-top:0;width:467.6pt;height:458.9pt;z-index:-251657216;mso-position-horizontal:center;mso-position-horizontal-relative:margin;mso-position-vertical:center;mso-position-vertical-relative:margin" o:allowincell="f">
          <v:imagedata r:id="rId1" o:title="MSD Round Proof (00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138D1" w14:textId="7158C524" w:rsidR="00774C27" w:rsidRDefault="00000000">
    <w:pPr>
      <w:pStyle w:val="Header"/>
    </w:pPr>
    <w:r>
      <w:rPr>
        <w:noProof/>
      </w:rPr>
      <w:pict w14:anchorId="758FE2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628189" o:spid="_x0000_s1027" type="#_x0000_t75" style="position:absolute;margin-left:0;margin-top:0;width:467.6pt;height:458.9pt;z-index:-251656192;mso-position-horizontal:center;mso-position-horizontal-relative:margin;mso-position-vertical:center;mso-position-vertical-relative:margin" o:allowincell="f">
          <v:imagedata r:id="rId1" o:title="MSD Round Proof (003)"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8A0B8" w14:textId="05A030A7" w:rsidR="00774C27" w:rsidRDefault="00000000">
    <w:pPr>
      <w:pStyle w:val="Header"/>
    </w:pPr>
    <w:r>
      <w:rPr>
        <w:noProof/>
      </w:rPr>
      <w:pict w14:anchorId="6D771D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628187" o:spid="_x0000_s1025" type="#_x0000_t75" style="position:absolute;margin-left:0;margin-top:0;width:467.6pt;height:458.9pt;z-index:-251658240;mso-position-horizontal:center;mso-position-horizontal-relative:margin;mso-position-vertical:center;mso-position-vertical-relative:margin" o:allowincell="f">
          <v:imagedata r:id="rId1" o:title="MSD Round Proof (003)"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176"/>
    <w:rsid w:val="001C78C5"/>
    <w:rsid w:val="003718C8"/>
    <w:rsid w:val="003E05E6"/>
    <w:rsid w:val="00441207"/>
    <w:rsid w:val="00470043"/>
    <w:rsid w:val="00774C27"/>
    <w:rsid w:val="00882959"/>
    <w:rsid w:val="008B6DB6"/>
    <w:rsid w:val="00980725"/>
    <w:rsid w:val="00BA4EAF"/>
    <w:rsid w:val="00BC69B0"/>
    <w:rsid w:val="00C40176"/>
    <w:rsid w:val="00D702EF"/>
    <w:rsid w:val="00E1475B"/>
    <w:rsid w:val="00E861E4"/>
    <w:rsid w:val="00FF4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4DD85"/>
  <w15:chartTrackingRefBased/>
  <w15:docId w15:val="{F625462E-0835-45F6-804D-B6A388B3E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01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01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01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01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01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01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01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01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01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1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01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01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01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01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01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1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1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176"/>
    <w:rPr>
      <w:rFonts w:eastAsiaTheme="majorEastAsia" w:cstheme="majorBidi"/>
      <w:color w:val="272727" w:themeColor="text1" w:themeTint="D8"/>
    </w:rPr>
  </w:style>
  <w:style w:type="paragraph" w:styleId="Title">
    <w:name w:val="Title"/>
    <w:basedOn w:val="Normal"/>
    <w:next w:val="Normal"/>
    <w:link w:val="TitleChar"/>
    <w:uiPriority w:val="10"/>
    <w:qFormat/>
    <w:rsid w:val="00C401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1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1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01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0176"/>
    <w:pPr>
      <w:spacing w:before="160"/>
      <w:jc w:val="center"/>
    </w:pPr>
    <w:rPr>
      <w:i/>
      <w:iCs/>
      <w:color w:val="404040" w:themeColor="text1" w:themeTint="BF"/>
    </w:rPr>
  </w:style>
  <w:style w:type="character" w:customStyle="1" w:styleId="QuoteChar">
    <w:name w:val="Quote Char"/>
    <w:basedOn w:val="DefaultParagraphFont"/>
    <w:link w:val="Quote"/>
    <w:uiPriority w:val="29"/>
    <w:rsid w:val="00C40176"/>
    <w:rPr>
      <w:i/>
      <w:iCs/>
      <w:color w:val="404040" w:themeColor="text1" w:themeTint="BF"/>
    </w:rPr>
  </w:style>
  <w:style w:type="paragraph" w:styleId="ListParagraph">
    <w:name w:val="List Paragraph"/>
    <w:basedOn w:val="Normal"/>
    <w:uiPriority w:val="34"/>
    <w:qFormat/>
    <w:rsid w:val="00C40176"/>
    <w:pPr>
      <w:ind w:left="720"/>
      <w:contextualSpacing/>
    </w:pPr>
  </w:style>
  <w:style w:type="character" w:styleId="IntenseEmphasis">
    <w:name w:val="Intense Emphasis"/>
    <w:basedOn w:val="DefaultParagraphFont"/>
    <w:uiPriority w:val="21"/>
    <w:qFormat/>
    <w:rsid w:val="00C40176"/>
    <w:rPr>
      <w:i/>
      <w:iCs/>
      <w:color w:val="0F4761" w:themeColor="accent1" w:themeShade="BF"/>
    </w:rPr>
  </w:style>
  <w:style w:type="paragraph" w:styleId="IntenseQuote">
    <w:name w:val="Intense Quote"/>
    <w:basedOn w:val="Normal"/>
    <w:next w:val="Normal"/>
    <w:link w:val="IntenseQuoteChar"/>
    <w:uiPriority w:val="30"/>
    <w:qFormat/>
    <w:rsid w:val="00C401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0176"/>
    <w:rPr>
      <w:i/>
      <w:iCs/>
      <w:color w:val="0F4761" w:themeColor="accent1" w:themeShade="BF"/>
    </w:rPr>
  </w:style>
  <w:style w:type="character" w:styleId="IntenseReference">
    <w:name w:val="Intense Reference"/>
    <w:basedOn w:val="DefaultParagraphFont"/>
    <w:uiPriority w:val="32"/>
    <w:qFormat/>
    <w:rsid w:val="00C40176"/>
    <w:rPr>
      <w:b/>
      <w:bCs/>
      <w:smallCaps/>
      <w:color w:val="0F4761" w:themeColor="accent1" w:themeShade="BF"/>
      <w:spacing w:val="5"/>
    </w:rPr>
  </w:style>
  <w:style w:type="paragraph" w:styleId="BodyText">
    <w:name w:val="Body Text"/>
    <w:basedOn w:val="Normal"/>
    <w:link w:val="BodyTextChar"/>
    <w:uiPriority w:val="1"/>
    <w:qFormat/>
    <w:rsid w:val="00C40176"/>
    <w:pPr>
      <w:widowControl w:val="0"/>
      <w:autoSpaceDE w:val="0"/>
      <w:autoSpaceDN w:val="0"/>
      <w:spacing w:after="0" w:line="240" w:lineRule="auto"/>
    </w:pPr>
    <w:rPr>
      <w:rFonts w:ascii="Arial" w:eastAsia="Arial" w:hAnsi="Arial" w:cs="Arial"/>
      <w:kern w:val="0"/>
      <w:sz w:val="23"/>
      <w:szCs w:val="23"/>
      <w14:ligatures w14:val="none"/>
    </w:rPr>
  </w:style>
  <w:style w:type="character" w:customStyle="1" w:styleId="BodyTextChar">
    <w:name w:val="Body Text Char"/>
    <w:basedOn w:val="DefaultParagraphFont"/>
    <w:link w:val="BodyText"/>
    <w:uiPriority w:val="1"/>
    <w:rsid w:val="00C40176"/>
    <w:rPr>
      <w:rFonts w:ascii="Arial" w:eastAsia="Arial" w:hAnsi="Arial" w:cs="Arial"/>
      <w:kern w:val="0"/>
      <w:sz w:val="23"/>
      <w:szCs w:val="23"/>
      <w14:ligatures w14:val="none"/>
    </w:rPr>
  </w:style>
  <w:style w:type="paragraph" w:styleId="Header">
    <w:name w:val="header"/>
    <w:basedOn w:val="Normal"/>
    <w:link w:val="HeaderChar"/>
    <w:uiPriority w:val="99"/>
    <w:unhideWhenUsed/>
    <w:rsid w:val="00774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C27"/>
  </w:style>
  <w:style w:type="paragraph" w:styleId="Footer">
    <w:name w:val="footer"/>
    <w:basedOn w:val="Normal"/>
    <w:link w:val="FooterChar"/>
    <w:uiPriority w:val="99"/>
    <w:unhideWhenUsed/>
    <w:rsid w:val="00774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C27"/>
  </w:style>
  <w:style w:type="character" w:styleId="Hyperlink">
    <w:name w:val="Hyperlink"/>
    <w:basedOn w:val="DefaultParagraphFont"/>
    <w:uiPriority w:val="99"/>
    <w:unhideWhenUsed/>
    <w:rsid w:val="00774C2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murphyss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E7147-CD54-47EA-B6E4-CE1686B0F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367</Words>
  <Characters>2125</Characters>
  <Application>Microsoft Office Word</Application>
  <DocSecurity>0</DocSecurity>
  <Lines>54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Fillmore</dc:creator>
  <cp:keywords/>
  <dc:description/>
  <cp:lastModifiedBy>Kristina Fillmore</cp:lastModifiedBy>
  <cp:revision>4</cp:revision>
  <cp:lastPrinted>2026-06-03T19:43:00Z</cp:lastPrinted>
  <dcterms:created xsi:type="dcterms:W3CDTF">2026-06-03T17:59:00Z</dcterms:created>
  <dcterms:modified xsi:type="dcterms:W3CDTF">2026-06-15T16:23:00Z</dcterms:modified>
</cp:coreProperties>
</file>