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2B34" w14:textId="77777777" w:rsidR="00AC45B1" w:rsidRPr="00AC45B1" w:rsidRDefault="00AC45B1" w:rsidP="00AC45B1">
      <w:pPr>
        <w:jc w:val="center"/>
      </w:pPr>
      <w:r w:rsidRPr="00AC45B1">
        <w:rPr>
          <w:b/>
          <w:bCs/>
        </w:rPr>
        <w:t>MURPHYS SANITARY DISTRICT</w:t>
      </w:r>
      <w:r w:rsidRPr="00AC45B1">
        <w:br/>
      </w:r>
      <w:r w:rsidRPr="00AC45B1">
        <w:rPr>
          <w:b/>
          <w:bCs/>
        </w:rPr>
        <w:t>IMPORTANT NOTICE REGARDING YOUR RESIDENTIAL SEWER RATES</w:t>
      </w:r>
    </w:p>
    <w:p w14:paraId="4EDD69CB" w14:textId="13BF636B" w:rsidR="00AC45B1" w:rsidRPr="00AC45B1" w:rsidRDefault="00AC45B1" w:rsidP="00AC45B1">
      <w:r w:rsidRPr="00AC45B1">
        <w:t xml:space="preserve">Date: </w:t>
      </w:r>
      <w:r>
        <w:t>June 3, 2026</w:t>
      </w:r>
    </w:p>
    <w:p w14:paraId="1F306CFC" w14:textId="77777777" w:rsidR="00AC45B1" w:rsidRPr="00AC45B1" w:rsidRDefault="00AC45B1" w:rsidP="00AC45B1">
      <w:r w:rsidRPr="00AC45B1">
        <w:t>Dear Residential Customer,</w:t>
      </w:r>
    </w:p>
    <w:p w14:paraId="1FD1CA07" w14:textId="77777777" w:rsidR="00AC45B1" w:rsidRPr="00AC45B1" w:rsidRDefault="00AC45B1" w:rsidP="00AC45B1">
      <w:r w:rsidRPr="00AC45B1">
        <w:t>The Board of Directors of Murphys Sanitary District recently approved Resolution No. 2026-04, which modifies the implementation schedule for future sewer rate adjustments.</w:t>
      </w:r>
    </w:p>
    <w:p w14:paraId="4E403726" w14:textId="77777777" w:rsidR="00AC45B1" w:rsidRPr="00AC45B1" w:rsidRDefault="00AC45B1" w:rsidP="00AC45B1">
      <w:pPr>
        <w:rPr>
          <w:b/>
          <w:bCs/>
        </w:rPr>
      </w:pPr>
      <w:proofErr w:type="gramStart"/>
      <w:r w:rsidRPr="00AC45B1">
        <w:rPr>
          <w:b/>
          <w:bCs/>
        </w:rPr>
        <w:t>What This</w:t>
      </w:r>
      <w:proofErr w:type="gramEnd"/>
      <w:r w:rsidRPr="00AC45B1">
        <w:rPr>
          <w:b/>
          <w:bCs/>
        </w:rPr>
        <w:t xml:space="preserve"> Means for You</w:t>
      </w:r>
    </w:p>
    <w:p w14:paraId="10908706" w14:textId="77777777" w:rsidR="00AC45B1" w:rsidRPr="005F506D" w:rsidRDefault="00AC45B1" w:rsidP="00AC45B1">
      <w:r w:rsidRPr="005F506D">
        <w:rPr>
          <w:rFonts w:ascii="Segoe UI Symbol" w:hAnsi="Segoe UI Symbol" w:cs="Segoe UI Symbol"/>
        </w:rPr>
        <w:t>✔</w:t>
      </w:r>
      <w:r w:rsidRPr="005F506D">
        <w:t xml:space="preserve"> The sewer rate </w:t>
      </w:r>
      <w:proofErr w:type="gramStart"/>
      <w:r w:rsidRPr="005F506D">
        <w:t>increase</w:t>
      </w:r>
      <w:proofErr w:type="gramEnd"/>
      <w:r w:rsidRPr="005F506D">
        <w:t xml:space="preserve"> originally scheduled for July 1, 2026, has been deferred to July 1, 2027.</w:t>
      </w:r>
    </w:p>
    <w:p w14:paraId="139898F8" w14:textId="77777777" w:rsidR="00AC45B1" w:rsidRPr="005F506D" w:rsidRDefault="00AC45B1" w:rsidP="00AC45B1">
      <w:r w:rsidRPr="005F506D">
        <w:rPr>
          <w:rFonts w:ascii="Segoe UI Symbol" w:hAnsi="Segoe UI Symbol" w:cs="Segoe UI Symbol"/>
        </w:rPr>
        <w:t>✔</w:t>
      </w:r>
      <w:r w:rsidRPr="005F506D">
        <w:t xml:space="preserve"> Effective July 1, 2026, residential customers will receive a temporary rate adjustment.</w:t>
      </w:r>
    </w:p>
    <w:p w14:paraId="603126E0" w14:textId="77777777" w:rsidR="00AC45B1" w:rsidRPr="005F506D" w:rsidRDefault="00AC45B1" w:rsidP="00AC45B1">
      <w:r w:rsidRPr="005F506D">
        <w:rPr>
          <w:rFonts w:ascii="Segoe UI Symbol" w:hAnsi="Segoe UI Symbol" w:cs="Segoe UI Symbol"/>
        </w:rPr>
        <w:t>✔</w:t>
      </w:r>
      <w:r w:rsidRPr="005F506D">
        <w:t xml:space="preserve"> Your residential monthly sewer rate will be $80.00 through June 30, 2027.</w:t>
      </w:r>
    </w:p>
    <w:p w14:paraId="58AD55D6" w14:textId="77777777" w:rsidR="00AC45B1" w:rsidRPr="00AC45B1" w:rsidRDefault="00AC45B1" w:rsidP="00AC45B1">
      <w:pPr>
        <w:rPr>
          <w:b/>
          <w:bCs/>
        </w:rPr>
      </w:pPr>
      <w:r w:rsidRPr="00AC45B1">
        <w:rPr>
          <w:b/>
          <w:bCs/>
        </w:rPr>
        <w:t>Residential Monthly 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7"/>
        <w:gridCol w:w="1875"/>
      </w:tblGrid>
      <w:tr w:rsidR="00AC45B1" w:rsidRPr="00AC45B1" w14:paraId="0E76FF22" w14:textId="77777777">
        <w:trPr>
          <w:tblCellSpacing w:w="15" w:type="dxa"/>
        </w:trPr>
        <w:tc>
          <w:tcPr>
            <w:tcW w:w="0" w:type="auto"/>
            <w:vAlign w:val="center"/>
            <w:hideMark/>
          </w:tcPr>
          <w:p w14:paraId="0CC2D341" w14:textId="77777777" w:rsidR="00AC45B1" w:rsidRPr="00AC45B1" w:rsidRDefault="00AC45B1" w:rsidP="00AC45B1">
            <w:pPr>
              <w:rPr>
                <w:b/>
                <w:bCs/>
              </w:rPr>
            </w:pPr>
            <w:r w:rsidRPr="00AC45B1">
              <w:rPr>
                <w:b/>
                <w:bCs/>
              </w:rPr>
              <w:t>Rate Component</w:t>
            </w:r>
          </w:p>
        </w:tc>
        <w:tc>
          <w:tcPr>
            <w:tcW w:w="0" w:type="auto"/>
            <w:vAlign w:val="center"/>
            <w:hideMark/>
          </w:tcPr>
          <w:p w14:paraId="292F164B" w14:textId="77777777" w:rsidR="00AC45B1" w:rsidRPr="00AC45B1" w:rsidRDefault="00AC45B1" w:rsidP="00AC45B1">
            <w:pPr>
              <w:rPr>
                <w:b/>
                <w:bCs/>
              </w:rPr>
            </w:pPr>
            <w:r w:rsidRPr="00AC45B1">
              <w:rPr>
                <w:b/>
                <w:bCs/>
              </w:rPr>
              <w:t>Monthly Amount</w:t>
            </w:r>
          </w:p>
        </w:tc>
      </w:tr>
      <w:tr w:rsidR="00AC45B1" w:rsidRPr="00AC45B1" w14:paraId="49C4099E" w14:textId="77777777">
        <w:trPr>
          <w:tblCellSpacing w:w="15" w:type="dxa"/>
        </w:trPr>
        <w:tc>
          <w:tcPr>
            <w:tcW w:w="0" w:type="auto"/>
            <w:vAlign w:val="center"/>
            <w:hideMark/>
          </w:tcPr>
          <w:p w14:paraId="0626848F" w14:textId="77777777" w:rsidR="00AC45B1" w:rsidRPr="00AC45B1" w:rsidRDefault="00AC45B1" w:rsidP="00AC45B1">
            <w:r w:rsidRPr="00AC45B1">
              <w:t>Base Charge</w:t>
            </w:r>
          </w:p>
        </w:tc>
        <w:tc>
          <w:tcPr>
            <w:tcW w:w="0" w:type="auto"/>
            <w:vAlign w:val="center"/>
            <w:hideMark/>
          </w:tcPr>
          <w:p w14:paraId="0EB82730" w14:textId="77777777" w:rsidR="00AC45B1" w:rsidRPr="00AC45B1" w:rsidRDefault="00AC45B1" w:rsidP="00AC45B1">
            <w:r w:rsidRPr="00AC45B1">
              <w:t>$23.42</w:t>
            </w:r>
          </w:p>
        </w:tc>
      </w:tr>
      <w:tr w:rsidR="00AC45B1" w:rsidRPr="00AC45B1" w14:paraId="74440A23" w14:textId="77777777">
        <w:trPr>
          <w:tblCellSpacing w:w="15" w:type="dxa"/>
        </w:trPr>
        <w:tc>
          <w:tcPr>
            <w:tcW w:w="0" w:type="auto"/>
            <w:vAlign w:val="center"/>
            <w:hideMark/>
          </w:tcPr>
          <w:p w14:paraId="00B1E08C" w14:textId="77777777" w:rsidR="00AC45B1" w:rsidRPr="00AC45B1" w:rsidRDefault="00AC45B1" w:rsidP="00AC45B1">
            <w:r w:rsidRPr="00AC45B1">
              <w:t>Residential Flow Charge</w:t>
            </w:r>
          </w:p>
        </w:tc>
        <w:tc>
          <w:tcPr>
            <w:tcW w:w="0" w:type="auto"/>
            <w:vAlign w:val="center"/>
            <w:hideMark/>
          </w:tcPr>
          <w:p w14:paraId="43000EC9" w14:textId="77777777" w:rsidR="00AC45B1" w:rsidRPr="00AC45B1" w:rsidRDefault="00AC45B1" w:rsidP="00AC45B1">
            <w:r w:rsidRPr="00AC45B1">
              <w:t>$56.58</w:t>
            </w:r>
          </w:p>
        </w:tc>
      </w:tr>
      <w:tr w:rsidR="00AC45B1" w:rsidRPr="00AC45B1" w14:paraId="6EBEF277" w14:textId="77777777">
        <w:trPr>
          <w:tblCellSpacing w:w="15" w:type="dxa"/>
        </w:trPr>
        <w:tc>
          <w:tcPr>
            <w:tcW w:w="0" w:type="auto"/>
            <w:vAlign w:val="center"/>
            <w:hideMark/>
          </w:tcPr>
          <w:p w14:paraId="7145D334" w14:textId="77777777" w:rsidR="00AC45B1" w:rsidRPr="00AC45B1" w:rsidRDefault="00AC45B1" w:rsidP="00AC45B1">
            <w:r w:rsidRPr="00AC45B1">
              <w:rPr>
                <w:b/>
                <w:bCs/>
              </w:rPr>
              <w:t>Total Monthly Rate</w:t>
            </w:r>
          </w:p>
        </w:tc>
        <w:tc>
          <w:tcPr>
            <w:tcW w:w="0" w:type="auto"/>
            <w:vAlign w:val="center"/>
            <w:hideMark/>
          </w:tcPr>
          <w:p w14:paraId="1EC460B6" w14:textId="77777777" w:rsidR="00AC45B1" w:rsidRPr="00AC45B1" w:rsidRDefault="00AC45B1" w:rsidP="00AC45B1">
            <w:r w:rsidRPr="00AC45B1">
              <w:rPr>
                <w:b/>
                <w:bCs/>
              </w:rPr>
              <w:t>$80.00</w:t>
            </w:r>
          </w:p>
        </w:tc>
      </w:tr>
    </w:tbl>
    <w:p w14:paraId="2E68C2F5" w14:textId="77777777" w:rsidR="00AC45B1" w:rsidRPr="005F506D" w:rsidRDefault="00AC45B1" w:rsidP="00AC45B1">
      <w:r w:rsidRPr="005F506D">
        <w:t>Total Monthly Rate = Base Charge + Residential Flow Charge</w:t>
      </w:r>
    </w:p>
    <w:p w14:paraId="040BF112" w14:textId="77777777" w:rsidR="00AC45B1" w:rsidRPr="00AC45B1" w:rsidRDefault="00AC45B1" w:rsidP="00AC45B1">
      <w:pPr>
        <w:rPr>
          <w:b/>
          <w:bCs/>
        </w:rPr>
      </w:pPr>
      <w:r w:rsidRPr="00AC45B1">
        <w:rPr>
          <w:b/>
          <w:bCs/>
        </w:rPr>
        <w:t>Why Was This Change Made?</w:t>
      </w:r>
    </w:p>
    <w:p w14:paraId="592BFEA1" w14:textId="01608D35" w:rsidR="00AC45B1" w:rsidRPr="00AC45B1" w:rsidRDefault="00AC45B1" w:rsidP="00AC45B1">
      <w:r w:rsidRPr="00AC45B1">
        <w:t xml:space="preserve">The Board recognized that customers would otherwise experience two rate increases within the same calendar year. To help reduce the financial impact on customers and provide additional time to adjust, the Board approved a one-year deferral of the July 1, </w:t>
      </w:r>
      <w:proofErr w:type="gramStart"/>
      <w:r w:rsidRPr="00AC45B1">
        <w:t>2026</w:t>
      </w:r>
      <w:proofErr w:type="gramEnd"/>
      <w:r w:rsidRPr="00AC45B1">
        <w:t xml:space="preserve"> rate increase.</w:t>
      </w:r>
    </w:p>
    <w:p w14:paraId="07D43E15" w14:textId="77777777" w:rsidR="00AC45B1" w:rsidRPr="00AC45B1" w:rsidRDefault="00AC45B1" w:rsidP="00AC45B1">
      <w:r w:rsidRPr="00AC45B1">
        <w:t>As part of this action, the Board also approved a temporary residential rate adjustment that will remain in effect through June 30, 2027.</w:t>
      </w:r>
    </w:p>
    <w:p w14:paraId="100DD5F3" w14:textId="77777777" w:rsidR="00AC45B1" w:rsidRDefault="00AC45B1" w:rsidP="00AC45B1">
      <w:pPr>
        <w:rPr>
          <w:b/>
          <w:bCs/>
        </w:rPr>
      </w:pPr>
    </w:p>
    <w:p w14:paraId="028382C1" w14:textId="77777777" w:rsidR="00AC45B1" w:rsidRDefault="00AC45B1" w:rsidP="00AC45B1">
      <w:pPr>
        <w:rPr>
          <w:b/>
          <w:bCs/>
        </w:rPr>
      </w:pPr>
    </w:p>
    <w:p w14:paraId="35DABEBD" w14:textId="77777777" w:rsidR="00AC45B1" w:rsidRDefault="00AC45B1" w:rsidP="00AC45B1">
      <w:pPr>
        <w:rPr>
          <w:b/>
          <w:bCs/>
        </w:rPr>
      </w:pPr>
    </w:p>
    <w:p w14:paraId="745E6C10" w14:textId="0A3BDEB0" w:rsidR="00AC45B1" w:rsidRPr="00AC45B1" w:rsidRDefault="00AC45B1" w:rsidP="00AC45B1">
      <w:pPr>
        <w:rPr>
          <w:b/>
          <w:bCs/>
        </w:rPr>
      </w:pPr>
      <w:r w:rsidRPr="00AC45B1">
        <w:rPr>
          <w:b/>
          <w:bCs/>
        </w:rPr>
        <w:t>Future Rate Schedule</w:t>
      </w:r>
    </w:p>
    <w:p w14:paraId="6564AA1B" w14:textId="77777777" w:rsidR="00AC45B1" w:rsidRPr="00AC45B1" w:rsidRDefault="00AC45B1" w:rsidP="00AC45B1">
      <w:r w:rsidRPr="00AC45B1">
        <w:t xml:space="preserve">The adopted Proposition 218 rate structure remains unchanged. This action only modifies the implementation dates by delaying the July 1, </w:t>
      </w:r>
      <w:proofErr w:type="gramStart"/>
      <w:r w:rsidRPr="00AC45B1">
        <w:t>2026</w:t>
      </w:r>
      <w:proofErr w:type="gramEnd"/>
      <w:r w:rsidRPr="00AC45B1">
        <w:t xml:space="preserve"> increase and shifting subsequent scheduled increases forward by one year.</w:t>
      </w:r>
    </w:p>
    <w:p w14:paraId="61DEB73B" w14:textId="77777777" w:rsidR="00AC45B1" w:rsidRPr="00AC45B1" w:rsidRDefault="00AC45B1" w:rsidP="00AC45B1">
      <w:r w:rsidRPr="00AC45B1">
        <w:t>Please note that a copy of the revised rate schedule is enclosed for your review. The attached schedule reflects the implementation dates approved by the Board under Resolution No. 2026-04.</w:t>
      </w:r>
    </w:p>
    <w:p w14:paraId="38284214" w14:textId="77777777" w:rsidR="00AC45B1" w:rsidRPr="00AC45B1" w:rsidRDefault="00AC45B1" w:rsidP="00AC45B1">
      <w:r w:rsidRPr="00AC45B1">
        <w:t xml:space="preserve">The </w:t>
      </w:r>
      <w:proofErr w:type="gramStart"/>
      <w:r w:rsidRPr="00AC45B1">
        <w:t>District</w:t>
      </w:r>
      <w:proofErr w:type="gramEnd"/>
      <w:r w:rsidRPr="00AC45B1">
        <w:t xml:space="preserve"> remains committed to providing reliable wastewater collection and treatment services, maintaining regulatory compliance, and investing in the infrastructure necessary to serve our community now and into the future.</w:t>
      </w:r>
    </w:p>
    <w:p w14:paraId="7B7BC577" w14:textId="77777777" w:rsidR="00AC45B1" w:rsidRPr="00AC45B1" w:rsidRDefault="00AC45B1" w:rsidP="00AC45B1">
      <w:r w:rsidRPr="00AC45B1">
        <w:t xml:space="preserve">If you have any questions regarding </w:t>
      </w:r>
      <w:proofErr w:type="gramStart"/>
      <w:r w:rsidRPr="00AC45B1">
        <w:t>your sewer</w:t>
      </w:r>
      <w:proofErr w:type="gramEnd"/>
      <w:r w:rsidRPr="00AC45B1">
        <w:t xml:space="preserve"> service rates, please contact the </w:t>
      </w:r>
      <w:proofErr w:type="gramStart"/>
      <w:r w:rsidRPr="00AC45B1">
        <w:t>District</w:t>
      </w:r>
      <w:proofErr w:type="gramEnd"/>
      <w:r w:rsidRPr="00AC45B1">
        <w:t xml:space="preserve"> office at (209) 728-3094.</w:t>
      </w:r>
    </w:p>
    <w:p w14:paraId="56535C04" w14:textId="77777777" w:rsidR="00AC45B1" w:rsidRPr="00AC45B1" w:rsidRDefault="00AC45B1" w:rsidP="00AC45B1">
      <w:r w:rsidRPr="00AC45B1">
        <w:t>Sincerely,</w:t>
      </w:r>
    </w:p>
    <w:p w14:paraId="56FDF3F9" w14:textId="77777777" w:rsidR="00AC45B1" w:rsidRPr="00AC45B1" w:rsidRDefault="00AC45B1" w:rsidP="00AC45B1">
      <w:r w:rsidRPr="00AC45B1">
        <w:rPr>
          <w:b/>
          <w:bCs/>
        </w:rPr>
        <w:t>Murphys Sanitary District</w:t>
      </w:r>
      <w:r w:rsidRPr="00AC45B1">
        <w:br/>
      </w:r>
      <w:r w:rsidRPr="00AC45B1">
        <w:rPr>
          <w:b/>
          <w:bCs/>
        </w:rPr>
        <w:t>Board of Directors</w:t>
      </w:r>
    </w:p>
    <w:p w14:paraId="4D662C5B" w14:textId="77777777" w:rsidR="00980725" w:rsidRDefault="00980725"/>
    <w:tbl>
      <w:tblPr>
        <w:tblpPr w:leftFromText="180" w:rightFromText="180" w:vertAnchor="text" w:horzAnchor="margin" w:tblpY="968"/>
        <w:tblW w:w="9931" w:type="dxa"/>
        <w:tblCellSpacing w:w="15" w:type="dxa"/>
        <w:tblCellMar>
          <w:top w:w="15" w:type="dxa"/>
          <w:left w:w="15" w:type="dxa"/>
          <w:bottom w:w="15" w:type="dxa"/>
          <w:right w:w="15" w:type="dxa"/>
        </w:tblCellMar>
        <w:tblLook w:val="04A0" w:firstRow="1" w:lastRow="0" w:firstColumn="1" w:lastColumn="0" w:noHBand="0" w:noVBand="1"/>
      </w:tblPr>
      <w:tblGrid>
        <w:gridCol w:w="2070"/>
        <w:gridCol w:w="990"/>
        <w:gridCol w:w="1350"/>
        <w:gridCol w:w="1350"/>
        <w:gridCol w:w="1350"/>
        <w:gridCol w:w="1350"/>
        <w:gridCol w:w="1471"/>
      </w:tblGrid>
      <w:tr w:rsidR="00AC45B1" w:rsidRPr="006A66B2" w14:paraId="73F34AB5" w14:textId="77777777" w:rsidTr="00B13254">
        <w:trPr>
          <w:tblHeader/>
          <w:tblCellSpacing w:w="15" w:type="dxa"/>
        </w:trPr>
        <w:tc>
          <w:tcPr>
            <w:tcW w:w="2025" w:type="dxa"/>
            <w:vAlign w:val="center"/>
            <w:hideMark/>
          </w:tcPr>
          <w:p w14:paraId="78035A8F"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Charge Category</w:t>
            </w:r>
          </w:p>
        </w:tc>
        <w:tc>
          <w:tcPr>
            <w:tcW w:w="960" w:type="dxa"/>
            <w:vAlign w:val="center"/>
            <w:hideMark/>
          </w:tcPr>
          <w:p w14:paraId="33B60EFE"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Unit</w:t>
            </w:r>
          </w:p>
        </w:tc>
        <w:tc>
          <w:tcPr>
            <w:tcW w:w="1320" w:type="dxa"/>
            <w:vAlign w:val="center"/>
            <w:hideMark/>
          </w:tcPr>
          <w:p w14:paraId="6A6A079A"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Jan 1, 2026</w:t>
            </w:r>
          </w:p>
        </w:tc>
        <w:tc>
          <w:tcPr>
            <w:tcW w:w="1320" w:type="dxa"/>
            <w:vAlign w:val="center"/>
            <w:hideMark/>
          </w:tcPr>
          <w:p w14:paraId="00B29D47"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2027</w:t>
            </w:r>
          </w:p>
        </w:tc>
        <w:tc>
          <w:tcPr>
            <w:tcW w:w="1320" w:type="dxa"/>
            <w:vAlign w:val="center"/>
            <w:hideMark/>
          </w:tcPr>
          <w:p w14:paraId="5F4869B5"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2028</w:t>
            </w:r>
          </w:p>
        </w:tc>
        <w:tc>
          <w:tcPr>
            <w:tcW w:w="1320" w:type="dxa"/>
            <w:vAlign w:val="center"/>
            <w:hideMark/>
          </w:tcPr>
          <w:p w14:paraId="780C3871"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2029</w:t>
            </w:r>
          </w:p>
        </w:tc>
        <w:tc>
          <w:tcPr>
            <w:tcW w:w="1426" w:type="dxa"/>
            <w:vAlign w:val="center"/>
            <w:hideMark/>
          </w:tcPr>
          <w:p w14:paraId="07DE3DBE"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2030</w:t>
            </w:r>
          </w:p>
        </w:tc>
      </w:tr>
      <w:tr w:rsidR="00AC45B1" w:rsidRPr="006A66B2" w14:paraId="259FC77F" w14:textId="77777777" w:rsidTr="00B13254">
        <w:trPr>
          <w:tblCellSpacing w:w="15" w:type="dxa"/>
        </w:trPr>
        <w:tc>
          <w:tcPr>
            <w:tcW w:w="2025" w:type="dxa"/>
            <w:vAlign w:val="center"/>
            <w:hideMark/>
          </w:tcPr>
          <w:p w14:paraId="5785F3CB"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Base Charge</w:t>
            </w:r>
          </w:p>
        </w:tc>
        <w:tc>
          <w:tcPr>
            <w:tcW w:w="960" w:type="dxa"/>
            <w:vAlign w:val="center"/>
            <w:hideMark/>
          </w:tcPr>
          <w:p w14:paraId="48E69E45"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account</w:t>
            </w:r>
          </w:p>
        </w:tc>
        <w:tc>
          <w:tcPr>
            <w:tcW w:w="1320" w:type="dxa"/>
            <w:vAlign w:val="center"/>
            <w:hideMark/>
          </w:tcPr>
          <w:p w14:paraId="525289A4"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$23.42</w:t>
            </w:r>
          </w:p>
        </w:tc>
        <w:tc>
          <w:tcPr>
            <w:tcW w:w="1320" w:type="dxa"/>
            <w:vAlign w:val="center"/>
            <w:hideMark/>
          </w:tcPr>
          <w:p w14:paraId="43774AD8"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$26.20</w:t>
            </w:r>
          </w:p>
        </w:tc>
        <w:tc>
          <w:tcPr>
            <w:tcW w:w="1320" w:type="dxa"/>
            <w:vAlign w:val="center"/>
            <w:hideMark/>
          </w:tcPr>
          <w:p w14:paraId="527F1A62"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$29.31</w:t>
            </w:r>
          </w:p>
        </w:tc>
        <w:tc>
          <w:tcPr>
            <w:tcW w:w="1320" w:type="dxa"/>
            <w:vAlign w:val="center"/>
            <w:hideMark/>
          </w:tcPr>
          <w:p w14:paraId="7123FA3D"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$32.79</w:t>
            </w:r>
          </w:p>
        </w:tc>
        <w:tc>
          <w:tcPr>
            <w:tcW w:w="1426" w:type="dxa"/>
            <w:vAlign w:val="center"/>
            <w:hideMark/>
          </w:tcPr>
          <w:p w14:paraId="0C43F1CC"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$36.68</w:t>
            </w:r>
          </w:p>
        </w:tc>
      </w:tr>
    </w:tbl>
    <w:p w14:paraId="7DB5294D" w14:textId="77777777" w:rsidR="00AC45B1" w:rsidRDefault="00AC45B1" w:rsidP="00AC45B1">
      <w:pPr>
        <w:pStyle w:val="BodyText"/>
        <w:rPr>
          <w:rFonts w:asciiTheme="minorHAnsi" w:hAnsiTheme="minorHAnsi"/>
          <w:sz w:val="24"/>
          <w:szCs w:val="24"/>
        </w:rPr>
      </w:pPr>
    </w:p>
    <w:p w14:paraId="29FE6AD5" w14:textId="77777777" w:rsidR="00AC45B1" w:rsidRDefault="00AC45B1" w:rsidP="00AC45B1">
      <w:pPr>
        <w:pStyle w:val="BodyText"/>
        <w:rPr>
          <w:rFonts w:asciiTheme="minorHAnsi" w:hAnsiTheme="minorHAnsi"/>
          <w:sz w:val="24"/>
          <w:szCs w:val="24"/>
        </w:rPr>
      </w:pPr>
    </w:p>
    <w:tbl>
      <w:tblPr>
        <w:tblpPr w:leftFromText="180" w:rightFromText="180" w:vertAnchor="text" w:horzAnchor="margin" w:tblpY="1889"/>
        <w:tblOverlap w:val="never"/>
        <w:tblW w:w="9900" w:type="dxa"/>
        <w:tblCellSpacing w:w="15" w:type="dxa"/>
        <w:tblCellMar>
          <w:top w:w="15" w:type="dxa"/>
          <w:left w:w="15" w:type="dxa"/>
          <w:bottom w:w="15" w:type="dxa"/>
          <w:right w:w="15" w:type="dxa"/>
        </w:tblCellMar>
        <w:tblLook w:val="04A0" w:firstRow="1" w:lastRow="0" w:firstColumn="1" w:lastColumn="0" w:noHBand="0" w:noVBand="1"/>
      </w:tblPr>
      <w:tblGrid>
        <w:gridCol w:w="2115"/>
        <w:gridCol w:w="985"/>
        <w:gridCol w:w="1310"/>
        <w:gridCol w:w="1350"/>
        <w:gridCol w:w="1350"/>
        <w:gridCol w:w="1350"/>
        <w:gridCol w:w="1440"/>
      </w:tblGrid>
      <w:tr w:rsidR="00AC45B1" w:rsidRPr="006A66B2" w14:paraId="47B2EFAD" w14:textId="77777777" w:rsidTr="00B13254">
        <w:trPr>
          <w:tblHeader/>
          <w:tblCellSpacing w:w="15" w:type="dxa"/>
        </w:trPr>
        <w:tc>
          <w:tcPr>
            <w:tcW w:w="2070" w:type="dxa"/>
            <w:vAlign w:val="center"/>
            <w:hideMark/>
          </w:tcPr>
          <w:p w14:paraId="20552A99"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Category</w:t>
            </w:r>
          </w:p>
        </w:tc>
        <w:tc>
          <w:tcPr>
            <w:tcW w:w="0" w:type="auto"/>
            <w:vAlign w:val="center"/>
            <w:hideMark/>
          </w:tcPr>
          <w:p w14:paraId="7E4FF26A"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Unit</w:t>
            </w:r>
          </w:p>
        </w:tc>
        <w:tc>
          <w:tcPr>
            <w:tcW w:w="1280" w:type="dxa"/>
            <w:vAlign w:val="center"/>
            <w:hideMark/>
          </w:tcPr>
          <w:p w14:paraId="5C13CD9C"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Jan 1, 2026</w:t>
            </w:r>
          </w:p>
        </w:tc>
        <w:tc>
          <w:tcPr>
            <w:tcW w:w="1320" w:type="dxa"/>
            <w:vAlign w:val="center"/>
            <w:hideMark/>
          </w:tcPr>
          <w:p w14:paraId="7EC3B24F"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2027</w:t>
            </w:r>
          </w:p>
        </w:tc>
        <w:tc>
          <w:tcPr>
            <w:tcW w:w="1320" w:type="dxa"/>
            <w:vAlign w:val="center"/>
            <w:hideMark/>
          </w:tcPr>
          <w:p w14:paraId="349C7C55"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2028</w:t>
            </w:r>
          </w:p>
        </w:tc>
        <w:tc>
          <w:tcPr>
            <w:tcW w:w="1320" w:type="dxa"/>
            <w:vAlign w:val="center"/>
            <w:hideMark/>
          </w:tcPr>
          <w:p w14:paraId="725A97A0"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2029</w:t>
            </w:r>
          </w:p>
        </w:tc>
        <w:tc>
          <w:tcPr>
            <w:tcW w:w="1395" w:type="dxa"/>
            <w:vAlign w:val="center"/>
            <w:hideMark/>
          </w:tcPr>
          <w:p w14:paraId="1877D1A9"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July 1, 2030</w:t>
            </w:r>
          </w:p>
        </w:tc>
      </w:tr>
      <w:tr w:rsidR="00AC45B1" w:rsidRPr="006A66B2" w14:paraId="788F06FD" w14:textId="77777777" w:rsidTr="00B13254">
        <w:trPr>
          <w:tblCellSpacing w:w="15" w:type="dxa"/>
        </w:trPr>
        <w:tc>
          <w:tcPr>
            <w:tcW w:w="2070" w:type="dxa"/>
            <w:vAlign w:val="center"/>
            <w:hideMark/>
          </w:tcPr>
          <w:p w14:paraId="36A18AED"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Residential</w:t>
            </w:r>
          </w:p>
        </w:tc>
        <w:tc>
          <w:tcPr>
            <w:tcW w:w="0" w:type="auto"/>
            <w:vAlign w:val="center"/>
            <w:hideMark/>
          </w:tcPr>
          <w:p w14:paraId="6E5B8016"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dwelling</w:t>
            </w:r>
          </w:p>
        </w:tc>
        <w:tc>
          <w:tcPr>
            <w:tcW w:w="1280" w:type="dxa"/>
            <w:vAlign w:val="center"/>
            <w:hideMark/>
          </w:tcPr>
          <w:p w14:paraId="474DAB9A" w14:textId="2F32CC95"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$56.</w:t>
            </w:r>
            <w:r w:rsidR="0071523B">
              <w:rPr>
                <w:rFonts w:asciiTheme="minorHAnsi" w:hAnsiTheme="minorHAnsi"/>
                <w:sz w:val="24"/>
                <w:szCs w:val="24"/>
              </w:rPr>
              <w:t>58</w:t>
            </w:r>
          </w:p>
        </w:tc>
        <w:tc>
          <w:tcPr>
            <w:tcW w:w="1320" w:type="dxa"/>
            <w:vAlign w:val="center"/>
            <w:hideMark/>
          </w:tcPr>
          <w:p w14:paraId="09BD0419"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$63.71</w:t>
            </w:r>
          </w:p>
        </w:tc>
        <w:tc>
          <w:tcPr>
            <w:tcW w:w="1320" w:type="dxa"/>
            <w:vAlign w:val="center"/>
            <w:hideMark/>
          </w:tcPr>
          <w:p w14:paraId="3352DBB2"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$71.35</w:t>
            </w:r>
          </w:p>
        </w:tc>
        <w:tc>
          <w:tcPr>
            <w:tcW w:w="1320" w:type="dxa"/>
            <w:vAlign w:val="center"/>
            <w:hideMark/>
          </w:tcPr>
          <w:p w14:paraId="0CC30060"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$79.92</w:t>
            </w:r>
          </w:p>
        </w:tc>
        <w:tc>
          <w:tcPr>
            <w:tcW w:w="1395" w:type="dxa"/>
            <w:vAlign w:val="center"/>
            <w:hideMark/>
          </w:tcPr>
          <w:p w14:paraId="2FF22C02"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$89.51</w:t>
            </w:r>
          </w:p>
        </w:tc>
      </w:tr>
      <w:tr w:rsidR="00AC45B1" w:rsidRPr="006A66B2" w14:paraId="09420454" w14:textId="77777777" w:rsidTr="00B13254">
        <w:trPr>
          <w:tblCellSpacing w:w="15" w:type="dxa"/>
        </w:trPr>
        <w:tc>
          <w:tcPr>
            <w:tcW w:w="2070" w:type="dxa"/>
            <w:vAlign w:val="center"/>
            <w:hideMark/>
          </w:tcPr>
          <w:p w14:paraId="220C15F1"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Hotel/Motel</w:t>
            </w:r>
          </w:p>
        </w:tc>
        <w:tc>
          <w:tcPr>
            <w:tcW w:w="0" w:type="auto"/>
            <w:vAlign w:val="center"/>
            <w:hideMark/>
          </w:tcPr>
          <w:p w14:paraId="44B2861B"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room</w:t>
            </w:r>
          </w:p>
        </w:tc>
        <w:tc>
          <w:tcPr>
            <w:tcW w:w="1280" w:type="dxa"/>
            <w:vAlign w:val="center"/>
            <w:hideMark/>
          </w:tcPr>
          <w:p w14:paraId="0FCFA58F"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$24.52</w:t>
            </w:r>
          </w:p>
        </w:tc>
        <w:tc>
          <w:tcPr>
            <w:tcW w:w="1320" w:type="dxa"/>
            <w:vAlign w:val="center"/>
            <w:hideMark/>
          </w:tcPr>
          <w:p w14:paraId="2C0F1A12"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$27.46</w:t>
            </w:r>
          </w:p>
        </w:tc>
        <w:tc>
          <w:tcPr>
            <w:tcW w:w="1320" w:type="dxa"/>
            <w:vAlign w:val="center"/>
            <w:hideMark/>
          </w:tcPr>
          <w:p w14:paraId="5A67E414"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$30.76</w:t>
            </w:r>
          </w:p>
        </w:tc>
        <w:tc>
          <w:tcPr>
            <w:tcW w:w="1320" w:type="dxa"/>
            <w:vAlign w:val="center"/>
            <w:hideMark/>
          </w:tcPr>
          <w:p w14:paraId="5EA5AE4D"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$34.45</w:t>
            </w:r>
          </w:p>
        </w:tc>
        <w:tc>
          <w:tcPr>
            <w:tcW w:w="1395" w:type="dxa"/>
            <w:vAlign w:val="center"/>
            <w:hideMark/>
          </w:tcPr>
          <w:p w14:paraId="151CB46A"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$38.58</w:t>
            </w:r>
          </w:p>
        </w:tc>
      </w:tr>
      <w:tr w:rsidR="00AC45B1" w:rsidRPr="006A66B2" w14:paraId="7A257C01" w14:textId="77777777" w:rsidTr="00B13254">
        <w:trPr>
          <w:tblCellSpacing w:w="15" w:type="dxa"/>
        </w:trPr>
        <w:tc>
          <w:tcPr>
            <w:tcW w:w="2070" w:type="dxa"/>
            <w:vAlign w:val="center"/>
            <w:hideMark/>
          </w:tcPr>
          <w:p w14:paraId="44ACB85F"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Churches</w:t>
            </w:r>
          </w:p>
        </w:tc>
        <w:tc>
          <w:tcPr>
            <w:tcW w:w="0" w:type="auto"/>
            <w:vAlign w:val="center"/>
            <w:hideMark/>
          </w:tcPr>
          <w:p w14:paraId="3129F4A5"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church</w:t>
            </w:r>
          </w:p>
        </w:tc>
        <w:tc>
          <w:tcPr>
            <w:tcW w:w="1280" w:type="dxa"/>
            <w:vAlign w:val="center"/>
            <w:hideMark/>
          </w:tcPr>
          <w:p w14:paraId="319B3981"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$54.70</w:t>
            </w:r>
          </w:p>
        </w:tc>
        <w:tc>
          <w:tcPr>
            <w:tcW w:w="1320" w:type="dxa"/>
            <w:vAlign w:val="center"/>
            <w:hideMark/>
          </w:tcPr>
          <w:p w14:paraId="2AF9E25B"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$61.26</w:t>
            </w:r>
          </w:p>
        </w:tc>
        <w:tc>
          <w:tcPr>
            <w:tcW w:w="1320" w:type="dxa"/>
            <w:vAlign w:val="center"/>
            <w:hideMark/>
          </w:tcPr>
          <w:p w14:paraId="4F6D8464"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$68.62</w:t>
            </w:r>
          </w:p>
        </w:tc>
        <w:tc>
          <w:tcPr>
            <w:tcW w:w="1320" w:type="dxa"/>
            <w:vAlign w:val="center"/>
            <w:hideMark/>
          </w:tcPr>
          <w:p w14:paraId="377CC72C"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$76.85</w:t>
            </w:r>
          </w:p>
        </w:tc>
        <w:tc>
          <w:tcPr>
            <w:tcW w:w="1395" w:type="dxa"/>
            <w:vAlign w:val="center"/>
            <w:hideMark/>
          </w:tcPr>
          <w:p w14:paraId="48F1AA77"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$86.07</w:t>
            </w:r>
          </w:p>
        </w:tc>
      </w:tr>
      <w:tr w:rsidR="00AC45B1" w:rsidRPr="006A66B2" w14:paraId="467CCDF7" w14:textId="77777777" w:rsidTr="00B13254">
        <w:trPr>
          <w:tblCellSpacing w:w="15" w:type="dxa"/>
        </w:trPr>
        <w:tc>
          <w:tcPr>
            <w:tcW w:w="2070" w:type="dxa"/>
            <w:vAlign w:val="center"/>
            <w:hideMark/>
          </w:tcPr>
          <w:p w14:paraId="0B133E55"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School</w:t>
            </w:r>
          </w:p>
        </w:tc>
        <w:tc>
          <w:tcPr>
            <w:tcW w:w="0" w:type="auto"/>
            <w:vAlign w:val="center"/>
            <w:hideMark/>
          </w:tcPr>
          <w:p w14:paraId="7C4B020A"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student</w:t>
            </w:r>
          </w:p>
        </w:tc>
        <w:tc>
          <w:tcPr>
            <w:tcW w:w="1280" w:type="dxa"/>
            <w:vAlign w:val="center"/>
            <w:hideMark/>
          </w:tcPr>
          <w:p w14:paraId="649A3E8E"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$2.14</w:t>
            </w:r>
          </w:p>
        </w:tc>
        <w:tc>
          <w:tcPr>
            <w:tcW w:w="1320" w:type="dxa"/>
            <w:vAlign w:val="center"/>
            <w:hideMark/>
          </w:tcPr>
          <w:p w14:paraId="0C5EB06B"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$2.40</w:t>
            </w:r>
          </w:p>
        </w:tc>
        <w:tc>
          <w:tcPr>
            <w:tcW w:w="1320" w:type="dxa"/>
            <w:vAlign w:val="center"/>
            <w:hideMark/>
          </w:tcPr>
          <w:p w14:paraId="27A2C2C1"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$2.69</w:t>
            </w:r>
          </w:p>
        </w:tc>
        <w:tc>
          <w:tcPr>
            <w:tcW w:w="1320" w:type="dxa"/>
            <w:vAlign w:val="center"/>
            <w:hideMark/>
          </w:tcPr>
          <w:p w14:paraId="2A161D56"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$3.01</w:t>
            </w:r>
          </w:p>
        </w:tc>
        <w:tc>
          <w:tcPr>
            <w:tcW w:w="1395" w:type="dxa"/>
            <w:vAlign w:val="center"/>
            <w:hideMark/>
          </w:tcPr>
          <w:p w14:paraId="2D704110" w14:textId="77777777" w:rsidR="00AC45B1" w:rsidRPr="006A66B2" w:rsidRDefault="00AC45B1" w:rsidP="00B13254">
            <w:pPr>
              <w:pStyle w:val="BodyText"/>
              <w:rPr>
                <w:rFonts w:asciiTheme="minorHAnsi" w:hAnsiTheme="minorHAnsi"/>
                <w:sz w:val="24"/>
                <w:szCs w:val="24"/>
              </w:rPr>
            </w:pPr>
            <w:r w:rsidRPr="006A66B2">
              <w:rPr>
                <w:rFonts w:asciiTheme="minorHAnsi" w:hAnsiTheme="minorHAnsi"/>
                <w:sz w:val="24"/>
                <w:szCs w:val="24"/>
              </w:rPr>
              <w:t>$3.37</w:t>
            </w:r>
          </w:p>
        </w:tc>
      </w:tr>
    </w:tbl>
    <w:p w14:paraId="3CF65DB0" w14:textId="77777777" w:rsidR="00AC45B1" w:rsidRPr="006A66B2" w:rsidRDefault="00AC45B1" w:rsidP="00AC45B1">
      <w:pPr>
        <w:pStyle w:val="BodyText"/>
        <w:rPr>
          <w:rFonts w:asciiTheme="minorHAnsi" w:hAnsiTheme="minorHAnsi"/>
          <w:b/>
          <w:bCs/>
          <w:sz w:val="24"/>
          <w:szCs w:val="24"/>
        </w:rPr>
      </w:pPr>
      <w:r>
        <w:rPr>
          <w:rFonts w:asciiTheme="minorHAnsi" w:hAnsiTheme="minorHAnsi"/>
          <w:sz w:val="24"/>
          <w:szCs w:val="24"/>
        </w:rPr>
        <w:t xml:space="preserve">                                                </w:t>
      </w:r>
      <w:r w:rsidRPr="006A66B2">
        <w:rPr>
          <w:rFonts w:asciiTheme="minorHAnsi" w:hAnsiTheme="minorHAnsi"/>
          <w:b/>
          <w:bCs/>
          <w:sz w:val="24"/>
          <w:szCs w:val="24"/>
        </w:rPr>
        <w:t>Murphys Sanitary District – Adjusted Rate Schedule</w:t>
      </w:r>
    </w:p>
    <w:p w14:paraId="5275046D" w14:textId="77777777" w:rsidR="00AC45B1" w:rsidRDefault="00AC45B1" w:rsidP="00AC45B1">
      <w:pPr>
        <w:pStyle w:val="BodyText"/>
        <w:ind w:left="2160"/>
        <w:rPr>
          <w:rFonts w:asciiTheme="minorHAnsi" w:hAnsiTheme="minorHAnsi"/>
          <w:sz w:val="24"/>
          <w:szCs w:val="24"/>
        </w:rPr>
      </w:pPr>
      <w:r>
        <w:rPr>
          <w:rFonts w:asciiTheme="minorHAnsi" w:hAnsiTheme="minorHAnsi"/>
          <w:sz w:val="24"/>
          <w:szCs w:val="24"/>
        </w:rPr>
        <w:t xml:space="preserve">     </w:t>
      </w:r>
    </w:p>
    <w:p w14:paraId="6E379B1E" w14:textId="77777777" w:rsidR="00AC45B1" w:rsidRPr="006A66B2" w:rsidRDefault="00AC45B1" w:rsidP="00AC45B1">
      <w:pPr>
        <w:pStyle w:val="BodyText"/>
        <w:ind w:left="2160"/>
        <w:rPr>
          <w:rFonts w:asciiTheme="minorHAnsi" w:hAnsiTheme="minorHAnsi"/>
          <w:b/>
          <w:bCs/>
          <w:sz w:val="24"/>
          <w:szCs w:val="24"/>
        </w:rPr>
      </w:pPr>
      <w:r>
        <w:rPr>
          <w:rFonts w:asciiTheme="minorHAnsi" w:hAnsiTheme="minorHAnsi"/>
          <w:sz w:val="24"/>
          <w:szCs w:val="24"/>
        </w:rPr>
        <w:t xml:space="preserve">                 </w:t>
      </w:r>
      <w:r w:rsidRPr="006A66B2">
        <w:rPr>
          <w:rFonts w:asciiTheme="minorHAnsi" w:hAnsiTheme="minorHAnsi"/>
          <w:b/>
          <w:bCs/>
          <w:sz w:val="24"/>
          <w:szCs w:val="24"/>
        </w:rPr>
        <w:t>Residential &amp; Institutional (per month)</w:t>
      </w:r>
    </w:p>
    <w:p w14:paraId="1A82DDA0" w14:textId="77777777" w:rsidR="00AC45B1" w:rsidRDefault="00AC45B1"/>
    <w:sectPr w:rsidR="00AC45B1">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24E3" w14:textId="77777777" w:rsidR="00A43BEF" w:rsidRDefault="00A43BEF" w:rsidP="00AC45B1">
      <w:pPr>
        <w:spacing w:after="0" w:line="240" w:lineRule="auto"/>
      </w:pPr>
      <w:r>
        <w:separator/>
      </w:r>
    </w:p>
  </w:endnote>
  <w:endnote w:type="continuationSeparator" w:id="0">
    <w:p w14:paraId="05F7B05A" w14:textId="77777777" w:rsidR="00A43BEF" w:rsidRDefault="00A43BEF" w:rsidP="00AC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5E4" w14:textId="77777777" w:rsidR="00C92F02" w:rsidRPr="00DF543B" w:rsidRDefault="00C92F02" w:rsidP="00C92F02">
    <w:pPr>
      <w:pStyle w:val="Footer"/>
      <w:jc w:val="center"/>
      <w:rPr>
        <w:b/>
        <w:bCs/>
        <w:i/>
        <w:iCs/>
        <w:sz w:val="20"/>
        <w:szCs w:val="20"/>
      </w:rPr>
    </w:pPr>
    <w:r w:rsidRPr="00DF543B">
      <w:rPr>
        <w:b/>
        <w:bCs/>
        <w:i/>
        <w:iCs/>
        <w:sz w:val="20"/>
        <w:szCs w:val="20"/>
      </w:rPr>
      <w:t>BOARD OF DIRECTORS</w:t>
    </w:r>
  </w:p>
  <w:p w14:paraId="67497A58" w14:textId="77777777" w:rsidR="00C92F02" w:rsidRPr="00454B4B" w:rsidRDefault="00C92F02" w:rsidP="00C92F02">
    <w:pPr>
      <w:pStyle w:val="Footer"/>
      <w:jc w:val="center"/>
      <w:rPr>
        <w:b/>
        <w:bCs/>
        <w:i/>
        <w:iCs/>
        <w:sz w:val="20"/>
        <w:szCs w:val="20"/>
      </w:rPr>
    </w:pPr>
    <w:r w:rsidRPr="00454B4B">
      <w:rPr>
        <w:b/>
        <w:bCs/>
        <w:i/>
        <w:iCs/>
        <w:sz w:val="20"/>
        <w:szCs w:val="20"/>
      </w:rPr>
      <w:t>Paige McMath-Jue</w:t>
    </w:r>
    <w:r>
      <w:rPr>
        <w:b/>
        <w:bCs/>
        <w:i/>
        <w:iCs/>
        <w:sz w:val="20"/>
        <w:szCs w:val="20"/>
      </w:rPr>
      <w:t>, President</w:t>
    </w:r>
    <w:r w:rsidRPr="00454B4B">
      <w:rPr>
        <w:b/>
        <w:bCs/>
        <w:i/>
        <w:iCs/>
        <w:sz w:val="20"/>
        <w:szCs w:val="20"/>
      </w:rPr>
      <w:t xml:space="preserve"> </w:t>
    </w:r>
    <w:r>
      <w:rPr>
        <w:b/>
        <w:bCs/>
        <w:i/>
        <w:iCs/>
        <w:sz w:val="20"/>
        <w:szCs w:val="20"/>
      </w:rPr>
      <w:t>|</w:t>
    </w:r>
    <w:r w:rsidRPr="00454B4B">
      <w:rPr>
        <w:b/>
        <w:bCs/>
        <w:i/>
        <w:iCs/>
        <w:sz w:val="20"/>
        <w:szCs w:val="20"/>
      </w:rPr>
      <w:t xml:space="preserve">| </w:t>
    </w:r>
    <w:r>
      <w:rPr>
        <w:b/>
        <w:bCs/>
        <w:i/>
        <w:iCs/>
        <w:sz w:val="20"/>
        <w:szCs w:val="20"/>
      </w:rPr>
      <w:t>Marty Mellera, Vice President</w:t>
    </w:r>
    <w:r w:rsidRPr="00454B4B">
      <w:rPr>
        <w:b/>
        <w:bCs/>
        <w:i/>
        <w:iCs/>
        <w:sz w:val="20"/>
        <w:szCs w:val="20"/>
      </w:rPr>
      <w:t xml:space="preserve"> |</w:t>
    </w:r>
    <w:r>
      <w:rPr>
        <w:b/>
        <w:bCs/>
        <w:i/>
        <w:iCs/>
        <w:sz w:val="20"/>
        <w:szCs w:val="20"/>
      </w:rPr>
      <w:t>|</w:t>
    </w:r>
    <w:r w:rsidRPr="00454B4B">
      <w:rPr>
        <w:b/>
        <w:bCs/>
        <w:i/>
        <w:iCs/>
        <w:sz w:val="20"/>
        <w:szCs w:val="20"/>
      </w:rPr>
      <w:t xml:space="preserve"> </w:t>
    </w:r>
    <w:r>
      <w:rPr>
        <w:b/>
        <w:bCs/>
        <w:i/>
        <w:iCs/>
        <w:sz w:val="20"/>
        <w:szCs w:val="20"/>
      </w:rPr>
      <w:t>Steve Gonzales, Secretary</w:t>
    </w:r>
  </w:p>
  <w:p w14:paraId="08E77F1A" w14:textId="77777777" w:rsidR="00C92F02" w:rsidRPr="00454B4B" w:rsidRDefault="00C92F02" w:rsidP="00C92F02">
    <w:pPr>
      <w:pStyle w:val="Footer"/>
      <w:jc w:val="center"/>
      <w:rPr>
        <w:b/>
        <w:bCs/>
        <w:i/>
        <w:iCs/>
        <w:sz w:val="20"/>
        <w:szCs w:val="20"/>
      </w:rPr>
    </w:pPr>
    <w:r w:rsidRPr="00454B4B">
      <w:rPr>
        <w:b/>
        <w:bCs/>
        <w:i/>
        <w:iCs/>
        <w:sz w:val="20"/>
        <w:szCs w:val="20"/>
      </w:rPr>
      <w:t>Joseph Fontana</w:t>
    </w:r>
    <w:r>
      <w:rPr>
        <w:b/>
        <w:bCs/>
        <w:i/>
        <w:iCs/>
        <w:sz w:val="20"/>
        <w:szCs w:val="20"/>
      </w:rPr>
      <w:t>, Treasurer</w:t>
    </w:r>
    <w:r w:rsidRPr="00454B4B">
      <w:rPr>
        <w:b/>
        <w:bCs/>
        <w:i/>
        <w:iCs/>
        <w:sz w:val="20"/>
        <w:szCs w:val="20"/>
      </w:rPr>
      <w:t xml:space="preserve"> </w:t>
    </w:r>
    <w:r>
      <w:rPr>
        <w:b/>
        <w:bCs/>
        <w:i/>
        <w:iCs/>
        <w:sz w:val="20"/>
        <w:szCs w:val="20"/>
      </w:rPr>
      <w:t>|</w:t>
    </w:r>
    <w:r w:rsidRPr="00454B4B">
      <w:rPr>
        <w:b/>
        <w:bCs/>
        <w:i/>
        <w:iCs/>
        <w:sz w:val="20"/>
        <w:szCs w:val="20"/>
      </w:rPr>
      <w:t>|</w:t>
    </w:r>
    <w:r>
      <w:rPr>
        <w:b/>
        <w:bCs/>
        <w:i/>
        <w:iCs/>
        <w:sz w:val="20"/>
        <w:szCs w:val="20"/>
      </w:rPr>
      <w:t xml:space="preserve"> Vacancy Open</w:t>
    </w:r>
    <w:r>
      <w:rPr>
        <w:b/>
        <w:bCs/>
        <w:i/>
        <w:iCs/>
        <w:sz w:val="20"/>
        <w:szCs w:val="20"/>
      </w:rPr>
      <w:tab/>
    </w:r>
  </w:p>
  <w:p w14:paraId="3403C8F6" w14:textId="77777777" w:rsidR="00C92F02" w:rsidRPr="00454B4B" w:rsidRDefault="00C92F02" w:rsidP="00C92F02">
    <w:pPr>
      <w:pStyle w:val="Footer"/>
      <w:jc w:val="center"/>
      <w:rPr>
        <w:b/>
        <w:bCs/>
        <w:i/>
        <w:iCs/>
        <w:sz w:val="20"/>
        <w:szCs w:val="20"/>
      </w:rPr>
    </w:pPr>
    <w:hyperlink r:id="rId1" w:history="1">
      <w:r w:rsidRPr="00454B4B">
        <w:rPr>
          <w:rStyle w:val="Hyperlink"/>
          <w:b/>
          <w:bCs/>
          <w:i/>
          <w:iCs/>
          <w:sz w:val="20"/>
          <w:szCs w:val="20"/>
        </w:rPr>
        <w:t>www.murphyssd.org</w:t>
      </w:r>
    </w:hyperlink>
  </w:p>
  <w:p w14:paraId="30E125B8" w14:textId="77777777" w:rsidR="00AC45B1" w:rsidRDefault="00AC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6F15" w14:textId="77777777" w:rsidR="00A43BEF" w:rsidRDefault="00A43BEF" w:rsidP="00AC45B1">
      <w:pPr>
        <w:spacing w:after="0" w:line="240" w:lineRule="auto"/>
      </w:pPr>
      <w:r>
        <w:separator/>
      </w:r>
    </w:p>
  </w:footnote>
  <w:footnote w:type="continuationSeparator" w:id="0">
    <w:p w14:paraId="6F7E0C49" w14:textId="77777777" w:rsidR="00A43BEF" w:rsidRDefault="00A43BEF" w:rsidP="00AC4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5230" w14:textId="128F524A" w:rsidR="00AC45B1" w:rsidRDefault="00AC45B1">
    <w:pPr>
      <w:pStyle w:val="Header"/>
    </w:pPr>
    <w:r>
      <w:rPr>
        <w:noProof/>
      </w:rPr>
      <w:pict w14:anchorId="1F54A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840719" o:spid="_x0000_s1026" type="#_x0000_t75" style="position:absolute;margin-left:0;margin-top:0;width:467.6pt;height:458.9pt;z-index:-251657216;mso-position-horizontal:center;mso-position-horizontal-relative:margin;mso-position-vertical:center;mso-position-vertical-relative:margin" o:allowincell="f">
          <v:imagedata r:id="rId1" o:title="MSD Round Proof (00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CC4" w14:textId="0E9AD341" w:rsidR="00AC45B1" w:rsidRDefault="00AC45B1">
    <w:pPr>
      <w:pStyle w:val="Header"/>
    </w:pPr>
    <w:r>
      <w:rPr>
        <w:noProof/>
      </w:rPr>
      <w:pict w14:anchorId="64A72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840720" o:spid="_x0000_s1027" type="#_x0000_t75" style="position:absolute;margin-left:0;margin-top:0;width:467.6pt;height:458.9pt;z-index:-251656192;mso-position-horizontal:center;mso-position-horizontal-relative:margin;mso-position-vertical:center;mso-position-vertical-relative:margin" o:allowincell="f">
          <v:imagedata r:id="rId1" o:title="MSD Round Proof (003)"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1E56" w14:textId="1E0914CA" w:rsidR="00AC45B1" w:rsidRDefault="00AC45B1">
    <w:pPr>
      <w:pStyle w:val="Header"/>
    </w:pPr>
    <w:r>
      <w:rPr>
        <w:noProof/>
      </w:rPr>
      <w:pict w14:anchorId="5D6F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840718" o:spid="_x0000_s1025" type="#_x0000_t75" style="position:absolute;margin-left:0;margin-top:0;width:467.6pt;height:458.9pt;z-index:-251658240;mso-position-horizontal:center;mso-position-horizontal-relative:margin;mso-position-vertical:center;mso-position-vertical-relative:margin" o:allowincell="f">
          <v:imagedata r:id="rId1" o:title="MSD Round Proof (003)"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B1"/>
    <w:rsid w:val="001C78C5"/>
    <w:rsid w:val="005F506D"/>
    <w:rsid w:val="0071523B"/>
    <w:rsid w:val="00980725"/>
    <w:rsid w:val="00A43BEF"/>
    <w:rsid w:val="00AC45B1"/>
    <w:rsid w:val="00C92F02"/>
    <w:rsid w:val="00E8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5476"/>
  <w15:chartTrackingRefBased/>
  <w15:docId w15:val="{C2297BEB-5D11-4137-908F-223CDCB0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5B1"/>
    <w:rPr>
      <w:rFonts w:eastAsiaTheme="majorEastAsia" w:cstheme="majorBidi"/>
      <w:color w:val="272727" w:themeColor="text1" w:themeTint="D8"/>
    </w:rPr>
  </w:style>
  <w:style w:type="paragraph" w:styleId="Title">
    <w:name w:val="Title"/>
    <w:basedOn w:val="Normal"/>
    <w:next w:val="Normal"/>
    <w:link w:val="TitleChar"/>
    <w:uiPriority w:val="10"/>
    <w:qFormat/>
    <w:rsid w:val="00AC4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5B1"/>
    <w:pPr>
      <w:spacing w:before="160"/>
      <w:jc w:val="center"/>
    </w:pPr>
    <w:rPr>
      <w:i/>
      <w:iCs/>
      <w:color w:val="404040" w:themeColor="text1" w:themeTint="BF"/>
    </w:rPr>
  </w:style>
  <w:style w:type="character" w:customStyle="1" w:styleId="QuoteChar">
    <w:name w:val="Quote Char"/>
    <w:basedOn w:val="DefaultParagraphFont"/>
    <w:link w:val="Quote"/>
    <w:uiPriority w:val="29"/>
    <w:rsid w:val="00AC45B1"/>
    <w:rPr>
      <w:i/>
      <w:iCs/>
      <w:color w:val="404040" w:themeColor="text1" w:themeTint="BF"/>
    </w:rPr>
  </w:style>
  <w:style w:type="paragraph" w:styleId="ListParagraph">
    <w:name w:val="List Paragraph"/>
    <w:basedOn w:val="Normal"/>
    <w:uiPriority w:val="34"/>
    <w:qFormat/>
    <w:rsid w:val="00AC45B1"/>
    <w:pPr>
      <w:ind w:left="720"/>
      <w:contextualSpacing/>
    </w:pPr>
  </w:style>
  <w:style w:type="character" w:styleId="IntenseEmphasis">
    <w:name w:val="Intense Emphasis"/>
    <w:basedOn w:val="DefaultParagraphFont"/>
    <w:uiPriority w:val="21"/>
    <w:qFormat/>
    <w:rsid w:val="00AC45B1"/>
    <w:rPr>
      <w:i/>
      <w:iCs/>
      <w:color w:val="0F4761" w:themeColor="accent1" w:themeShade="BF"/>
    </w:rPr>
  </w:style>
  <w:style w:type="paragraph" w:styleId="IntenseQuote">
    <w:name w:val="Intense Quote"/>
    <w:basedOn w:val="Normal"/>
    <w:next w:val="Normal"/>
    <w:link w:val="IntenseQuoteChar"/>
    <w:uiPriority w:val="30"/>
    <w:qFormat/>
    <w:rsid w:val="00AC4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5B1"/>
    <w:rPr>
      <w:i/>
      <w:iCs/>
      <w:color w:val="0F4761" w:themeColor="accent1" w:themeShade="BF"/>
    </w:rPr>
  </w:style>
  <w:style w:type="character" w:styleId="IntenseReference">
    <w:name w:val="Intense Reference"/>
    <w:basedOn w:val="DefaultParagraphFont"/>
    <w:uiPriority w:val="32"/>
    <w:qFormat/>
    <w:rsid w:val="00AC45B1"/>
    <w:rPr>
      <w:b/>
      <w:bCs/>
      <w:smallCaps/>
      <w:color w:val="0F4761" w:themeColor="accent1" w:themeShade="BF"/>
      <w:spacing w:val="5"/>
    </w:rPr>
  </w:style>
  <w:style w:type="paragraph" w:styleId="Header">
    <w:name w:val="header"/>
    <w:basedOn w:val="Normal"/>
    <w:link w:val="HeaderChar"/>
    <w:uiPriority w:val="99"/>
    <w:unhideWhenUsed/>
    <w:rsid w:val="00AC4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5B1"/>
  </w:style>
  <w:style w:type="paragraph" w:styleId="Footer">
    <w:name w:val="footer"/>
    <w:basedOn w:val="Normal"/>
    <w:link w:val="FooterChar"/>
    <w:uiPriority w:val="99"/>
    <w:unhideWhenUsed/>
    <w:rsid w:val="00AC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5B1"/>
  </w:style>
  <w:style w:type="paragraph" w:styleId="BodyText">
    <w:name w:val="Body Text"/>
    <w:basedOn w:val="Normal"/>
    <w:link w:val="BodyTextChar"/>
    <w:uiPriority w:val="1"/>
    <w:qFormat/>
    <w:rsid w:val="00AC45B1"/>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AC45B1"/>
    <w:rPr>
      <w:rFonts w:ascii="Arial" w:eastAsia="Arial" w:hAnsi="Arial" w:cs="Arial"/>
      <w:kern w:val="0"/>
      <w:sz w:val="23"/>
      <w:szCs w:val="23"/>
      <w14:ligatures w14:val="none"/>
    </w:rPr>
  </w:style>
  <w:style w:type="character" w:styleId="Hyperlink">
    <w:name w:val="Hyperlink"/>
    <w:basedOn w:val="DefaultParagraphFont"/>
    <w:uiPriority w:val="99"/>
    <w:unhideWhenUsed/>
    <w:rsid w:val="00C92F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urphyss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372</Words>
  <Characters>2276</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Fillmore</dc:creator>
  <cp:keywords/>
  <dc:description/>
  <cp:lastModifiedBy>Kristina Fillmore</cp:lastModifiedBy>
  <cp:revision>2</cp:revision>
  <cp:lastPrinted>2026-06-03T19:51:00Z</cp:lastPrinted>
  <dcterms:created xsi:type="dcterms:W3CDTF">2026-06-03T19:25:00Z</dcterms:created>
  <dcterms:modified xsi:type="dcterms:W3CDTF">2026-06-03T19:51:00Z</dcterms:modified>
</cp:coreProperties>
</file>